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center"/>
        <w:textAlignment w:val="auto"/>
        <w:rPr>
          <w:rFonts w:hint="eastAsia" w:ascii="方正小标宋_GBK" w:hAnsi="方正小标宋_GBK" w:eastAsia="方正小标宋_GBK" w:cs="方正小标宋_GBK"/>
          <w:color w:val="auto"/>
          <w:sz w:val="44"/>
          <w:szCs w:val="44"/>
          <w:lang w:eastAsia="zh-CN"/>
        </w:rPr>
      </w:pPr>
      <w:r>
        <w:rPr>
          <w:rFonts w:hint="eastAsia" w:ascii="方正小标宋_GBK" w:hAnsi="方正小标宋_GBK" w:eastAsia="方正小标宋_GBK" w:cs="方正小标宋_GBK"/>
          <w:color w:val="auto"/>
          <w:sz w:val="44"/>
          <w:szCs w:val="44"/>
          <w:lang w:eastAsia="zh-CN"/>
        </w:rPr>
        <w:t>重庆市长寿区新冠肺炎疫情防控工作领导小组关于印发《长</w:t>
      </w:r>
      <w:r>
        <w:rPr>
          <w:rFonts w:hint="default" w:ascii="方正小标宋_GBK" w:hAnsi="方正小标宋_GBK" w:eastAsia="方正小标宋_GBK" w:cs="方正小标宋_GBK"/>
          <w:color w:val="auto"/>
          <w:sz w:val="44"/>
          <w:szCs w:val="44"/>
          <w:lang w:val="en-US" w:eastAsia="zh-CN"/>
        </w:rPr>
        <w:t>寿区</w:t>
      </w:r>
      <w:r>
        <w:rPr>
          <w:rFonts w:hint="eastAsia" w:ascii="方正小标宋_GBK" w:hAnsi="方正小标宋_GBK" w:eastAsia="方正小标宋_GBK" w:cs="方正小标宋_GBK"/>
          <w:color w:val="auto"/>
          <w:sz w:val="44"/>
          <w:szCs w:val="44"/>
          <w:lang w:eastAsia="zh-CN"/>
        </w:rPr>
        <w:t>新冠肺炎疫情防控来长返长货车及司乘人员服务管理工作方案》的通知</w:t>
      </w: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center"/>
        <w:textAlignment w:val="auto"/>
        <w:rPr>
          <w:rFonts w:hint="eastAsia" w:ascii="方正小标宋_GBK" w:hAnsi="方正小标宋_GBK" w:eastAsia="方正小标宋_GBK" w:cs="方正小标宋_GBK"/>
          <w:color w:val="auto"/>
          <w:sz w:val="44"/>
          <w:szCs w:val="44"/>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left"/>
        <w:textAlignment w:val="auto"/>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z w:val="32"/>
          <w:szCs w:val="32"/>
          <w:lang w:eastAsia="zh-CN"/>
        </w:rPr>
        <w:t>各街道办事处、镇人民政府，区级有关部门，有关企业：</w:t>
      </w: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left"/>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 xml:space="preserve">    《</w:t>
      </w:r>
      <w:r>
        <w:rPr>
          <w:rFonts w:hint="default" w:ascii="Times New Roman" w:hAnsi="Times New Roman" w:eastAsia="方正仿宋_GBK" w:cs="Times New Roman"/>
          <w:color w:val="auto"/>
          <w:sz w:val="32"/>
          <w:szCs w:val="32"/>
          <w:lang w:eastAsia="zh-CN"/>
        </w:rPr>
        <w:t>长</w:t>
      </w:r>
      <w:r>
        <w:rPr>
          <w:rFonts w:hint="default" w:ascii="Times New Roman" w:hAnsi="Times New Roman" w:eastAsia="方正仿宋_GBK" w:cs="Times New Roman"/>
          <w:color w:val="auto"/>
          <w:sz w:val="32"/>
          <w:szCs w:val="32"/>
          <w:lang w:val="en-US" w:eastAsia="zh-CN"/>
        </w:rPr>
        <w:t>寿区</w:t>
      </w:r>
      <w:r>
        <w:rPr>
          <w:rFonts w:hint="default" w:ascii="Times New Roman" w:hAnsi="Times New Roman" w:eastAsia="方正仿宋_GBK" w:cs="Times New Roman"/>
          <w:color w:val="auto"/>
          <w:sz w:val="32"/>
          <w:szCs w:val="32"/>
          <w:lang w:eastAsia="zh-CN"/>
        </w:rPr>
        <w:t>新冠肺炎疫情防控来长返长货车及司乘人员服务管理工作方案</w:t>
      </w:r>
      <w:r>
        <w:rPr>
          <w:rFonts w:hint="default" w:ascii="Times New Roman" w:hAnsi="Times New Roman" w:eastAsia="方正仿宋_GBK" w:cs="Times New Roman"/>
          <w:color w:val="auto"/>
          <w:sz w:val="32"/>
          <w:szCs w:val="32"/>
          <w:lang w:val="en-US" w:eastAsia="zh-CN"/>
        </w:rPr>
        <w:t>》已经</w:t>
      </w:r>
      <w:r>
        <w:rPr>
          <w:rFonts w:hint="eastAsia" w:ascii="Times New Roman" w:hAnsi="Times New Roman" w:eastAsia="方正仿宋_GBK" w:cs="Times New Roman"/>
          <w:color w:val="auto"/>
          <w:sz w:val="32"/>
          <w:szCs w:val="32"/>
          <w:lang w:eastAsia="zh-CN"/>
        </w:rPr>
        <w:t>区新冠肺炎疫情防控工作领导小组</w:t>
      </w:r>
      <w:r>
        <w:rPr>
          <w:rFonts w:hint="default" w:ascii="Times New Roman" w:hAnsi="Times New Roman" w:eastAsia="方正仿宋_GBK" w:cs="Times New Roman"/>
          <w:color w:val="auto"/>
          <w:sz w:val="32"/>
          <w:szCs w:val="32"/>
          <w:lang w:val="en-US" w:eastAsia="zh-CN"/>
        </w:rPr>
        <w:t>审议通过，现予印发，请遵照执行。</w:t>
      </w: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center"/>
        <w:textAlignment w:val="auto"/>
        <w:rPr>
          <w:rFonts w:hint="default" w:ascii="Times New Roman" w:hAnsi="Times New Roman" w:eastAsia="方正小标宋_GBK" w:cs="Times New Roman"/>
          <w:color w:val="auto"/>
          <w:sz w:val="44"/>
          <w:szCs w:val="44"/>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ind w:firstLine="4480" w:firstLineChars="1400"/>
        <w:jc w:val="left"/>
        <w:textAlignment w:val="auto"/>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z w:val="32"/>
          <w:szCs w:val="32"/>
          <w:lang w:eastAsia="zh-CN"/>
        </w:rPr>
        <w:t>重庆市长寿区新冠肺炎</w:t>
      </w: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ind w:firstLine="4480" w:firstLineChars="1400"/>
        <w:jc w:val="left"/>
        <w:textAlignment w:val="auto"/>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color w:val="auto"/>
          <w:sz w:val="32"/>
          <w:szCs w:val="32"/>
          <w:lang w:eastAsia="zh-CN"/>
        </w:rPr>
        <w:t>疫情防控工作领导小组</w:t>
      </w: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center"/>
        <w:textAlignment w:val="auto"/>
        <w:rPr>
          <w:rFonts w:hint="default" w:ascii="Times New Roman" w:hAnsi="Times New Roman" w:eastAsia="方正小标宋_GBK" w:cs="Times New Roman"/>
          <w:color w:val="auto"/>
          <w:sz w:val="44"/>
          <w:szCs w:val="44"/>
          <w:lang w:val="en-US" w:eastAsia="zh-CN"/>
        </w:rPr>
      </w:pPr>
      <w:r>
        <w:rPr>
          <w:rFonts w:hint="default" w:ascii="Times New Roman" w:hAnsi="Times New Roman" w:eastAsia="方正仿宋_GBK" w:cs="Times New Roman"/>
          <w:color w:val="auto"/>
          <w:sz w:val="32"/>
          <w:szCs w:val="32"/>
          <w:lang w:val="en-US" w:eastAsia="zh-CN"/>
        </w:rPr>
        <w:t xml:space="preserve">                    2022年9月6日</w:t>
      </w: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center"/>
        <w:textAlignment w:val="auto"/>
        <w:rPr>
          <w:rFonts w:hint="eastAsia" w:ascii="方正小标宋_GBK" w:hAnsi="方正小标宋_GBK" w:eastAsia="方正小标宋_GBK" w:cs="方正小标宋_GBK"/>
          <w:color w:val="auto"/>
          <w:sz w:val="44"/>
          <w:szCs w:val="44"/>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center"/>
        <w:textAlignment w:val="auto"/>
        <w:rPr>
          <w:rFonts w:hint="eastAsia" w:ascii="方正小标宋_GBK" w:hAnsi="方正小标宋_GBK" w:eastAsia="方正小标宋_GBK" w:cs="方正小标宋_GBK"/>
          <w:color w:val="auto"/>
          <w:sz w:val="44"/>
          <w:szCs w:val="44"/>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center"/>
        <w:textAlignment w:val="auto"/>
        <w:rPr>
          <w:rFonts w:hint="eastAsia" w:ascii="方正小标宋_GBK" w:hAnsi="方正小标宋_GBK" w:eastAsia="方正小标宋_GBK" w:cs="方正小标宋_GBK"/>
          <w:color w:val="auto"/>
          <w:sz w:val="44"/>
          <w:szCs w:val="44"/>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center"/>
        <w:textAlignment w:val="auto"/>
        <w:rPr>
          <w:rFonts w:hint="eastAsia" w:ascii="方正小标宋_GBK" w:hAnsi="方正小标宋_GBK" w:eastAsia="方正小标宋_GBK" w:cs="方正小标宋_GBK"/>
          <w:color w:val="auto"/>
          <w:sz w:val="44"/>
          <w:szCs w:val="44"/>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center"/>
        <w:textAlignment w:val="auto"/>
        <w:rPr>
          <w:rFonts w:hint="eastAsia" w:ascii="方正小标宋_GBK" w:hAnsi="方正小标宋_GBK" w:eastAsia="方正小标宋_GBK" w:cs="方正小标宋_GBK"/>
          <w:color w:val="auto"/>
          <w:sz w:val="44"/>
          <w:szCs w:val="44"/>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center"/>
        <w:textAlignment w:val="auto"/>
        <w:rPr>
          <w:rFonts w:hint="eastAsia" w:ascii="方正小标宋_GBK" w:hAnsi="方正小标宋_GBK" w:eastAsia="方正小标宋_GBK" w:cs="方正小标宋_GBK"/>
          <w:color w:val="auto"/>
          <w:sz w:val="44"/>
          <w:szCs w:val="44"/>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center"/>
        <w:textAlignment w:val="auto"/>
        <w:rPr>
          <w:rFonts w:hint="eastAsia" w:ascii="方正小标宋_GBK" w:hAnsi="方正小标宋_GBK" w:eastAsia="方正小标宋_GBK" w:cs="方正小标宋_GBK"/>
          <w:color w:val="auto"/>
          <w:sz w:val="44"/>
          <w:szCs w:val="44"/>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center"/>
        <w:textAlignment w:val="auto"/>
        <w:rPr>
          <w:rFonts w:hint="eastAsia" w:ascii="方正小标宋_GBK" w:hAnsi="方正小标宋_GBK" w:eastAsia="方正小标宋_GBK" w:cs="方正小标宋_GBK"/>
          <w:color w:val="auto"/>
          <w:sz w:val="44"/>
          <w:szCs w:val="44"/>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center"/>
        <w:textAlignment w:val="auto"/>
        <w:rPr>
          <w:rFonts w:hint="eastAsia" w:ascii="方正小标宋_GBK" w:hAnsi="方正小标宋_GBK" w:eastAsia="方正小标宋_GBK" w:cs="方正小标宋_GBK"/>
          <w:color w:val="auto"/>
          <w:sz w:val="44"/>
          <w:szCs w:val="44"/>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center"/>
        <w:textAlignment w:val="auto"/>
        <w:rPr>
          <w:rFonts w:hint="eastAsia" w:ascii="方正小标宋_GBK" w:hAnsi="方正小标宋_GBK" w:eastAsia="方正小标宋_GBK" w:cs="方正小标宋_GBK"/>
          <w:color w:val="auto"/>
          <w:sz w:val="44"/>
          <w:szCs w:val="44"/>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jc w:val="center"/>
        <w:textAlignment w:val="auto"/>
        <w:rPr>
          <w:rFonts w:hint="eastAsia" w:ascii="Times New Roman" w:hAnsi="Times New Roman" w:eastAsia="方正仿宋_GBK" w:cs="方正仿宋_GBK"/>
          <w:color w:val="auto"/>
          <w:w w:val="110"/>
          <w:sz w:val="32"/>
          <w:szCs w:val="32"/>
          <w:lang w:eastAsia="zh-CN"/>
        </w:rPr>
      </w:pPr>
      <w:r>
        <w:rPr>
          <w:rFonts w:hint="eastAsia" w:ascii="方正小标宋_GBK" w:hAnsi="方正小标宋_GBK" w:eastAsia="方正小标宋_GBK" w:cs="方正小标宋_GBK"/>
          <w:color w:val="auto"/>
          <w:sz w:val="44"/>
          <w:szCs w:val="44"/>
          <w:lang w:eastAsia="zh-CN"/>
        </w:rPr>
        <w:t>长</w:t>
      </w:r>
      <w:r>
        <w:rPr>
          <w:rFonts w:hint="default" w:ascii="方正小标宋_GBK" w:hAnsi="方正小标宋_GBK" w:eastAsia="方正小标宋_GBK" w:cs="方正小标宋_GBK"/>
          <w:color w:val="auto"/>
          <w:sz w:val="44"/>
          <w:szCs w:val="44"/>
          <w:lang w:val="en-US" w:eastAsia="zh-CN"/>
        </w:rPr>
        <w:t>寿区</w:t>
      </w:r>
      <w:r>
        <w:rPr>
          <w:rFonts w:hint="eastAsia" w:ascii="方正小标宋_GBK" w:hAnsi="方正小标宋_GBK" w:eastAsia="方正小标宋_GBK" w:cs="方正小标宋_GBK"/>
          <w:color w:val="auto"/>
          <w:sz w:val="44"/>
          <w:szCs w:val="44"/>
          <w:lang w:eastAsia="zh-CN"/>
        </w:rPr>
        <w:t>新冠肺炎疫情防控来长返长货车及司乘人员服务管理工作方案</w:t>
      </w: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ind w:firstLine="704" w:firstLineChars="200"/>
        <w:textAlignment w:val="auto"/>
        <w:rPr>
          <w:rFonts w:hint="eastAsia" w:ascii="Times New Roman" w:hAnsi="Times New Roman" w:eastAsia="方正仿宋_GBK" w:cs="方正仿宋_GBK"/>
          <w:color w:val="auto"/>
          <w:w w:val="110"/>
          <w:sz w:val="32"/>
          <w:szCs w:val="32"/>
          <w:lang w:eastAsia="zh-CN"/>
        </w:rPr>
      </w:pPr>
    </w:p>
    <w:p>
      <w:pPr>
        <w:widowControl w:val="0"/>
        <w:wordWrap/>
        <w:adjustRightInd/>
        <w:snapToGrid/>
        <w:spacing w:line="56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eastAsia="zh-CN"/>
        </w:rPr>
        <w:t>为进一步做好新冠病毒肺炎疫情防控下的物流保通保畅工作，更好落实中高风险地区来长货车司乘人员的健康检查、应急管理措施，坚决防止疫情通过物流渠道传播、扩散，特制定本工作方案。</w:t>
      </w: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方正黑体_GBK" w:cs="方正黑体_GBK"/>
          <w:color w:val="auto"/>
          <w:sz w:val="32"/>
          <w:szCs w:val="32"/>
          <w:lang w:eastAsia="zh-CN"/>
        </w:rPr>
      </w:pPr>
      <w:r>
        <w:rPr>
          <w:rFonts w:hint="eastAsia" w:ascii="Times New Roman" w:hAnsi="Times New Roman" w:eastAsia="方正黑体_GBK" w:cs="方正黑体_GBK"/>
          <w:color w:val="auto"/>
          <w:sz w:val="32"/>
          <w:szCs w:val="32"/>
          <w:lang w:eastAsia="zh-CN"/>
        </w:rPr>
        <w:t>一、工作目标</w:t>
      </w: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textAlignment w:val="auto"/>
        <w:rPr>
          <w:rFonts w:hint="default" w:ascii="方正仿宋_GBK" w:hAnsi="方正仿宋_GBK" w:eastAsia="方正仿宋_GBK" w:cs="方正仿宋_GBK"/>
          <w:sz w:val="32"/>
          <w:szCs w:val="32"/>
          <w:lang w:val="en-US" w:eastAsia="zh-CN"/>
        </w:rPr>
      </w:pPr>
      <w:r>
        <w:rPr>
          <w:rFonts w:hint="eastAsia" w:ascii="Times New Roman" w:hAnsi="Times New Roman" w:eastAsia="方正黑体_GBK" w:cs="方正黑体_GBK"/>
          <w:color w:val="auto"/>
          <w:sz w:val="32"/>
          <w:szCs w:val="32"/>
          <w:lang w:val="en-US" w:eastAsia="zh-CN"/>
        </w:rPr>
        <w:t xml:space="preserve">    </w:t>
      </w:r>
      <w:r>
        <w:rPr>
          <w:rFonts w:hint="eastAsia" w:ascii="Times New Roman" w:hAnsi="Times New Roman" w:eastAsia="方正仿宋_GBK" w:cs="方正仿宋_GBK"/>
          <w:sz w:val="32"/>
          <w:szCs w:val="32"/>
          <w:lang w:val="en-US" w:eastAsia="zh-CN"/>
        </w:rPr>
        <w:t>外防输入、快速通行、畅通物流。</w:t>
      </w: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方正黑体_GBK" w:cs="方正黑体_GBK"/>
          <w:color w:val="auto"/>
          <w:sz w:val="32"/>
          <w:szCs w:val="32"/>
          <w:lang w:eastAsia="zh-CN"/>
        </w:rPr>
      </w:pPr>
      <w:r>
        <w:rPr>
          <w:rFonts w:hint="eastAsia" w:ascii="Times New Roman" w:hAnsi="Times New Roman" w:eastAsia="方正黑体_GBK" w:cs="方正黑体_GBK"/>
          <w:color w:val="auto"/>
          <w:sz w:val="32"/>
          <w:szCs w:val="32"/>
          <w:lang w:eastAsia="zh-CN"/>
        </w:rPr>
        <w:t>二、工作原则</w:t>
      </w:r>
    </w:p>
    <w:p>
      <w:pPr>
        <w:widowControl w:val="0"/>
        <w:wordWrap/>
        <w:adjustRightInd/>
        <w:snapToGrid/>
        <w:spacing w:line="594" w:lineRule="exact"/>
        <w:ind w:firstLine="640" w:firstLineChars="20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1.全面落实党中央关于“疫情要防住、经济要稳住、发展要安全”的总要求。</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val="en-US" w:eastAsia="zh-CN"/>
        </w:rPr>
        <w:t>2.</w:t>
      </w:r>
      <w:r>
        <w:rPr>
          <w:rFonts w:hint="eastAsia" w:ascii="Times New Roman" w:hAnsi="Times New Roman" w:eastAsia="方正仿宋_GBK" w:cs="方正仿宋_GBK"/>
          <w:sz w:val="32"/>
          <w:szCs w:val="32"/>
          <w:lang w:eastAsia="zh-CN"/>
        </w:rPr>
        <w:t>严格落实《交通运输部关于印发道路货运车辆、从业人员及场站新冠肺炎疫情防控工作指南》，按照“即采、即走、即追”的原则，预约报备、快速放行、闭环管理。</w:t>
      </w:r>
    </w:p>
    <w:p>
      <w:pPr>
        <w:widowControl w:val="0"/>
        <w:wordWrap/>
        <w:adjustRightInd/>
        <w:snapToGrid/>
        <w:spacing w:line="594" w:lineRule="exact"/>
        <w:ind w:firstLine="640" w:firstLineChars="20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3.坚持“政府服务、企业负责；预先申报、快验通行；行业监管、闭环管理”的工作原则。</w:t>
      </w: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方正黑体_GBK" w:cs="方正黑体_GBK"/>
          <w:color w:val="auto"/>
          <w:sz w:val="32"/>
          <w:szCs w:val="32"/>
          <w:lang w:val="en-US" w:eastAsia="zh-CN"/>
        </w:rPr>
      </w:pPr>
      <w:r>
        <w:rPr>
          <w:rFonts w:hint="eastAsia" w:ascii="Times New Roman" w:hAnsi="Times New Roman" w:eastAsia="方正黑体_GBK" w:cs="方正黑体_GBK"/>
          <w:color w:val="auto"/>
          <w:sz w:val="32"/>
          <w:szCs w:val="32"/>
          <w:lang w:val="en-US" w:eastAsia="zh-CN"/>
        </w:rPr>
        <w:t>三、组织领导</w:t>
      </w:r>
    </w:p>
    <w:p>
      <w:pPr>
        <w:widowControl w:val="0"/>
        <w:wordWrap/>
        <w:adjustRightInd/>
        <w:snapToGrid/>
        <w:spacing w:line="594" w:lineRule="exact"/>
        <w:ind w:firstLine="640" w:firstLineChars="20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为加强长寿区物流保通保畅交通运输保障专班工作力量，在我区保障物流畅通促进产业链供应链稳定工作领导小组下成立由长寿经开区管委会主任宋平任组长，长寿区政府副区长江发茂、长寿经开区管委会副主任陈爱军任副组长的交通运输保通保畅工作专班。工作专班下设办公室，由区交通局局长王涛任办公室主任，由区交通局、</w:t>
      </w:r>
      <w:r>
        <w:rPr>
          <w:rFonts w:hint="default" w:ascii="Times New Roman" w:hAnsi="Times New Roman" w:eastAsia="方正仿宋_GBK" w:cs="方正仿宋_GBK"/>
          <w:sz w:val="32"/>
          <w:szCs w:val="32"/>
          <w:lang w:val="en-US" w:eastAsia="zh-CN"/>
        </w:rPr>
        <w:t>区</w:t>
      </w:r>
      <w:r>
        <w:rPr>
          <w:rFonts w:hint="eastAsia" w:ascii="Times New Roman" w:hAnsi="Times New Roman" w:eastAsia="方正仿宋_GBK" w:cs="方正仿宋_GBK"/>
          <w:sz w:val="32"/>
          <w:szCs w:val="32"/>
          <w:lang w:val="en-US" w:eastAsia="zh-CN"/>
        </w:rPr>
        <w:t>经信委、区商务委、</w:t>
      </w:r>
      <w:r>
        <w:rPr>
          <w:rFonts w:hint="default" w:ascii="Times New Roman" w:hAnsi="Times New Roman" w:eastAsia="方正仿宋_GBK" w:cs="方正仿宋_GBK"/>
          <w:sz w:val="32"/>
          <w:szCs w:val="32"/>
          <w:lang w:val="en-US" w:eastAsia="zh-CN"/>
        </w:rPr>
        <w:t>区</w:t>
      </w:r>
      <w:r>
        <w:rPr>
          <w:rFonts w:hint="eastAsia" w:ascii="Times New Roman" w:hAnsi="Times New Roman" w:eastAsia="方正仿宋_GBK" w:cs="方正仿宋_GBK"/>
          <w:sz w:val="32"/>
          <w:szCs w:val="32"/>
          <w:lang w:val="en-US" w:eastAsia="zh-CN"/>
        </w:rPr>
        <w:t>农</w:t>
      </w:r>
      <w:r>
        <w:rPr>
          <w:rFonts w:hint="default" w:ascii="Times New Roman" w:hAnsi="Times New Roman" w:eastAsia="方正仿宋_GBK" w:cs="方正仿宋_GBK"/>
          <w:sz w:val="32"/>
          <w:szCs w:val="32"/>
          <w:lang w:val="en-US" w:eastAsia="zh-CN"/>
        </w:rPr>
        <w:t>业</w:t>
      </w:r>
      <w:r>
        <w:rPr>
          <w:rFonts w:hint="eastAsia" w:ascii="Times New Roman" w:hAnsi="Times New Roman" w:eastAsia="方正仿宋_GBK" w:cs="方正仿宋_GBK"/>
          <w:sz w:val="32"/>
          <w:szCs w:val="32"/>
          <w:lang w:val="en-US" w:eastAsia="zh-CN"/>
        </w:rPr>
        <w:t>农村委、经开区管委会党政办、高新区服务中心、区邮政公司等部门根据</w:t>
      </w:r>
      <w:r>
        <w:rPr>
          <w:rFonts w:hint="default" w:ascii="Times New Roman" w:hAnsi="Times New Roman" w:eastAsia="方正仿宋_GBK" w:cs="方正仿宋_GBK"/>
          <w:sz w:val="32"/>
          <w:szCs w:val="32"/>
          <w:lang w:val="en-US" w:eastAsia="zh-CN"/>
        </w:rPr>
        <w:t>工</w:t>
      </w:r>
      <w:r>
        <w:rPr>
          <w:rFonts w:hint="eastAsia" w:ascii="Times New Roman" w:hAnsi="Times New Roman" w:eastAsia="方正仿宋_GBK" w:cs="方正仿宋_GBK"/>
          <w:sz w:val="32"/>
          <w:szCs w:val="32"/>
          <w:lang w:val="en-US" w:eastAsia="zh-CN"/>
        </w:rPr>
        <w:t>作需要抽调专人负责具体工作。</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方正黑体_GBK" w:cs="方正黑体_GBK"/>
          <w:color w:val="auto"/>
          <w:sz w:val="32"/>
          <w:szCs w:val="32"/>
          <w:lang w:eastAsia="zh-CN"/>
        </w:rPr>
      </w:pPr>
      <w:r>
        <w:rPr>
          <w:rFonts w:hint="eastAsia" w:ascii="Times New Roman" w:hAnsi="Times New Roman" w:eastAsia="方正黑体_GBK" w:cs="方正黑体_GBK"/>
          <w:color w:val="auto"/>
          <w:sz w:val="32"/>
          <w:szCs w:val="32"/>
          <w:lang w:eastAsia="zh-CN"/>
        </w:rPr>
        <w:t>四、具体措施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（一）设置服务点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根据管理服务工作需要，在高速公路下道口和国省干道设置若干核酸检测服务点。目前，依托已设置的晏家、长寿西、长寿北、古佛等4个高速公路收费站核酸检测服务点开展相关管理服务工作，并根据工作需要适时进行调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（二）信息申报备案</w:t>
      </w:r>
    </w:p>
    <w:p>
      <w:pPr>
        <w:keepNext w:val="0"/>
        <w:keepLines w:val="0"/>
        <w:pageBreakBefore w:val="0"/>
        <w:widowControl w:val="0"/>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方正仿宋_GBK" w:cs="方正仿宋_GBK"/>
          <w:sz w:val="32"/>
          <w:szCs w:val="32"/>
          <w:lang w:eastAsia="zh-CN"/>
        </w:rPr>
      </w:pPr>
      <w:r>
        <w:rPr>
          <w:rFonts w:hint="default" w:ascii="Times New Roman" w:hAnsi="Times New Roman" w:eastAsia="方正仿宋_GBK" w:cs="方正仿宋_GBK"/>
          <w:sz w:val="32"/>
          <w:szCs w:val="32"/>
          <w:lang w:val="en-US" w:eastAsia="zh-CN"/>
        </w:rPr>
        <w:t>1.</w:t>
      </w:r>
      <w:r>
        <w:rPr>
          <w:rFonts w:hint="eastAsia" w:ascii="Times New Roman" w:hAnsi="Times New Roman" w:eastAsia="方正仿宋_GBK" w:cs="方正仿宋_GBK"/>
          <w:sz w:val="32"/>
          <w:szCs w:val="32"/>
          <w:lang w:val="en-US" w:eastAsia="zh-CN"/>
        </w:rPr>
        <w:t>实行定人</w:t>
      </w:r>
      <w:r>
        <w:rPr>
          <w:rFonts w:hint="default" w:ascii="Times New Roman" w:hAnsi="Times New Roman" w:eastAsia="方正仿宋_GBK" w:cs="方正仿宋_GBK"/>
          <w:sz w:val="32"/>
          <w:szCs w:val="32"/>
          <w:lang w:val="en-US" w:eastAsia="zh-CN"/>
        </w:rPr>
        <w:t>定</w:t>
      </w:r>
      <w:r>
        <w:rPr>
          <w:rFonts w:hint="eastAsia" w:ascii="Times New Roman" w:hAnsi="Times New Roman" w:eastAsia="方正仿宋_GBK" w:cs="方正仿宋_GBK"/>
          <w:sz w:val="32"/>
          <w:szCs w:val="32"/>
          <w:lang w:val="en-US" w:eastAsia="zh-CN"/>
        </w:rPr>
        <w:t>车申报制度。</w:t>
      </w:r>
      <w:r>
        <w:rPr>
          <w:rFonts w:hint="eastAsia" w:ascii="Times New Roman" w:hAnsi="Times New Roman" w:eastAsia="方正仿宋_GBK" w:cs="方正仿宋_GBK"/>
          <w:sz w:val="32"/>
          <w:szCs w:val="32"/>
          <w:lang w:eastAsia="zh-CN"/>
        </w:rPr>
        <w:t>货主</w:t>
      </w:r>
      <w:r>
        <w:rPr>
          <w:rFonts w:hint="eastAsia" w:ascii="Times New Roman" w:hAnsi="Times New Roman" w:eastAsia="方正仿宋_GBK" w:cs="方正仿宋_GBK"/>
          <w:sz w:val="32"/>
          <w:szCs w:val="32"/>
          <w:lang w:val="en-US" w:eastAsia="zh-CN"/>
        </w:rPr>
        <w:t>企业</w:t>
      </w:r>
      <w:r>
        <w:rPr>
          <w:rFonts w:hint="default" w:ascii="Times New Roman" w:hAnsi="Times New Roman" w:eastAsia="方正仿宋_GBK" w:cs="方正仿宋_GBK"/>
          <w:sz w:val="32"/>
          <w:szCs w:val="32"/>
          <w:lang w:val="en-US" w:eastAsia="zh-CN"/>
        </w:rPr>
        <w:t>或</w:t>
      </w:r>
      <w:r>
        <w:rPr>
          <w:rFonts w:hint="eastAsia" w:ascii="Times New Roman" w:hAnsi="Times New Roman" w:eastAsia="方正仿宋_GBK" w:cs="方正仿宋_GBK"/>
          <w:sz w:val="32"/>
          <w:szCs w:val="32"/>
          <w:lang w:val="en-US" w:eastAsia="zh-CN"/>
        </w:rPr>
        <w:t>驾驶员向工作专班办公室</w:t>
      </w:r>
      <w:r>
        <w:rPr>
          <w:rFonts w:hint="eastAsia" w:ascii="Times New Roman" w:hAnsi="Times New Roman" w:eastAsia="方正仿宋_GBK" w:cs="方正仿宋_GBK"/>
          <w:sz w:val="32"/>
          <w:szCs w:val="32"/>
          <w:lang w:eastAsia="zh-CN"/>
        </w:rPr>
        <w:t>提</w:t>
      </w:r>
      <w:r>
        <w:rPr>
          <w:rFonts w:hint="eastAsia" w:ascii="Times New Roman" w:hAnsi="Times New Roman" w:eastAsia="方正仿宋_GBK" w:cs="方正仿宋_GBK"/>
          <w:sz w:val="32"/>
          <w:szCs w:val="32"/>
          <w:lang w:val="en-US" w:eastAsia="zh-CN"/>
        </w:rPr>
        <w:t>交</w:t>
      </w:r>
      <w:bookmarkStart w:id="0" w:name="_GoBack"/>
      <w:r>
        <w:rPr>
          <w:rFonts w:hint="eastAsia" w:ascii="Times New Roman" w:hAnsi="Times New Roman" w:eastAsia="方正仿宋_GBK" w:cs="方正仿宋_GBK"/>
          <w:sz w:val="32"/>
          <w:szCs w:val="32"/>
          <w:highlight w:val="yellow"/>
          <w:lang w:val="en-US" w:eastAsia="zh-CN"/>
        </w:rPr>
        <w:t>《新冠肺炎疫情防控来长返长货车及司乘人员高效通行申报表</w:t>
      </w:r>
      <w:r>
        <w:rPr>
          <w:rFonts w:hint="default" w:ascii="Times New Roman" w:hAnsi="Times New Roman" w:eastAsia="方正仿宋_GBK" w:cs="方正仿宋_GBK"/>
          <w:sz w:val="32"/>
          <w:szCs w:val="32"/>
          <w:highlight w:val="yellow"/>
          <w:lang w:val="en-US" w:eastAsia="zh-CN"/>
        </w:rPr>
        <w:t>》</w:t>
      </w:r>
      <w:bookmarkEnd w:id="0"/>
      <w:r>
        <w:rPr>
          <w:rFonts w:hint="eastAsia" w:ascii="Times New Roman" w:hAnsi="Times New Roman" w:eastAsia="方正仿宋_GBK" w:cs="方正仿宋_GBK"/>
          <w:sz w:val="32"/>
          <w:szCs w:val="32"/>
          <w:lang w:val="en-US" w:eastAsia="zh-CN"/>
        </w:rPr>
        <w:t>（详见附件）</w:t>
      </w:r>
      <w:r>
        <w:rPr>
          <w:rFonts w:hint="default" w:ascii="Times New Roman" w:hAnsi="Times New Roman" w:eastAsia="方正仿宋_GBK" w:cs="方正仿宋_GBK"/>
          <w:sz w:val="32"/>
          <w:szCs w:val="32"/>
          <w:lang w:val="en-US" w:eastAsia="zh-CN"/>
        </w:rPr>
        <w:t>，</w:t>
      </w:r>
      <w:r>
        <w:rPr>
          <w:rFonts w:hint="eastAsia" w:ascii="Times New Roman" w:hAnsi="Times New Roman" w:eastAsia="方正仿宋_GBK" w:cs="方正仿宋_GBK"/>
          <w:sz w:val="32"/>
          <w:szCs w:val="32"/>
          <w:lang w:eastAsia="zh-CN"/>
        </w:rPr>
        <w:t>认真</w:t>
      </w:r>
      <w:r>
        <w:rPr>
          <w:rFonts w:hint="default" w:ascii="Times New Roman" w:hAnsi="Times New Roman" w:eastAsia="方正仿宋_GBK" w:cs="方正仿宋_GBK"/>
          <w:sz w:val="32"/>
          <w:szCs w:val="32"/>
          <w:lang w:val="en-US" w:eastAsia="zh-CN"/>
        </w:rPr>
        <w:t>填</w:t>
      </w:r>
      <w:r>
        <w:rPr>
          <w:rFonts w:hint="eastAsia" w:ascii="Times New Roman" w:hAnsi="Times New Roman" w:eastAsia="方正仿宋_GBK" w:cs="方正仿宋_GBK"/>
          <w:sz w:val="32"/>
          <w:szCs w:val="32"/>
          <w:lang w:val="en-US" w:eastAsia="zh-CN"/>
        </w:rPr>
        <w:t>写</w:t>
      </w:r>
      <w:r>
        <w:rPr>
          <w:rFonts w:hint="default" w:ascii="Times New Roman" w:hAnsi="Times New Roman" w:eastAsia="方正仿宋_GBK" w:cs="方正仿宋_GBK"/>
          <w:sz w:val="32"/>
          <w:szCs w:val="32"/>
          <w:lang w:eastAsia="zh-CN"/>
        </w:rPr>
        <w:t>车辆</w:t>
      </w:r>
      <w:r>
        <w:rPr>
          <w:rFonts w:hint="eastAsia" w:ascii="Times New Roman" w:hAnsi="Times New Roman" w:eastAsia="方正仿宋_GBK" w:cs="方正仿宋_GBK"/>
          <w:sz w:val="32"/>
          <w:szCs w:val="32"/>
          <w:lang w:eastAsia="zh-CN"/>
        </w:rPr>
        <w:t>、驾乘人员</w:t>
      </w:r>
      <w:r>
        <w:rPr>
          <w:rFonts w:hint="default" w:ascii="Times New Roman" w:hAnsi="Times New Roman" w:eastAsia="方正仿宋_GBK" w:cs="方正仿宋_GBK"/>
          <w:sz w:val="32"/>
          <w:szCs w:val="32"/>
          <w:lang w:eastAsia="zh-CN"/>
        </w:rPr>
        <w:t>信息</w:t>
      </w:r>
      <w:r>
        <w:rPr>
          <w:rFonts w:hint="eastAsia" w:ascii="Times New Roman" w:hAnsi="Times New Roman" w:eastAsia="方正仿宋_GBK" w:cs="方正仿宋_GBK"/>
          <w:sz w:val="32"/>
          <w:szCs w:val="32"/>
          <w:lang w:eastAsia="zh-CN"/>
        </w:rPr>
        <w:t>，</w:t>
      </w:r>
      <w:r>
        <w:rPr>
          <w:rFonts w:hint="default" w:ascii="Times New Roman" w:hAnsi="Times New Roman" w:eastAsia="方正仿宋_GBK" w:cs="方正仿宋_GBK"/>
          <w:sz w:val="32"/>
          <w:szCs w:val="32"/>
          <w:lang w:eastAsia="zh-CN"/>
        </w:rPr>
        <w:t>包括</w:t>
      </w:r>
      <w:r>
        <w:rPr>
          <w:rFonts w:hint="eastAsia" w:ascii="Times New Roman" w:hAnsi="Times New Roman" w:eastAsia="方正仿宋_GBK" w:cs="方正仿宋_GBK"/>
          <w:sz w:val="32"/>
          <w:szCs w:val="32"/>
          <w:lang w:eastAsia="zh-CN"/>
        </w:rPr>
        <w:t>货车</w:t>
      </w:r>
      <w:r>
        <w:rPr>
          <w:rFonts w:hint="default" w:ascii="Times New Roman" w:hAnsi="Times New Roman" w:eastAsia="方正仿宋_GBK" w:cs="方正仿宋_GBK"/>
          <w:sz w:val="32"/>
          <w:szCs w:val="32"/>
          <w:lang w:eastAsia="zh-CN"/>
        </w:rPr>
        <w:t>车牌号、</w:t>
      </w:r>
      <w:r>
        <w:rPr>
          <w:rFonts w:hint="eastAsia" w:ascii="Times New Roman" w:hAnsi="Times New Roman" w:eastAsia="方正仿宋_GBK" w:cs="方正仿宋_GBK"/>
          <w:sz w:val="32"/>
          <w:szCs w:val="32"/>
          <w:lang w:eastAsia="zh-CN"/>
        </w:rPr>
        <w:t>司乘人员</w:t>
      </w:r>
      <w:r>
        <w:rPr>
          <w:rFonts w:hint="default" w:ascii="Times New Roman" w:hAnsi="Times New Roman" w:eastAsia="方正仿宋_GBK" w:cs="方正仿宋_GBK"/>
          <w:sz w:val="32"/>
          <w:szCs w:val="32"/>
          <w:lang w:eastAsia="zh-CN"/>
        </w:rPr>
        <w:t>信息</w:t>
      </w:r>
      <w:r>
        <w:rPr>
          <w:rFonts w:hint="eastAsia" w:ascii="Times New Roman" w:hAnsi="Times New Roman" w:eastAsia="方正仿宋_GBK" w:cs="方正仿宋_GBK"/>
          <w:sz w:val="32"/>
          <w:szCs w:val="32"/>
          <w:lang w:eastAsia="zh-CN"/>
        </w:rPr>
        <w:t>（姓名、身份证号、</w:t>
      </w:r>
      <w:r>
        <w:rPr>
          <w:rFonts w:hint="default" w:ascii="Times New Roman" w:hAnsi="Times New Roman" w:eastAsia="方正仿宋_GBK" w:cs="方正仿宋_GBK"/>
          <w:sz w:val="32"/>
          <w:szCs w:val="32"/>
          <w:lang w:eastAsia="zh-CN"/>
        </w:rPr>
        <w:t>手机号</w:t>
      </w:r>
      <w:r>
        <w:rPr>
          <w:rFonts w:hint="eastAsia" w:ascii="Times New Roman" w:hAnsi="Times New Roman" w:eastAsia="方正仿宋_GBK" w:cs="方正仿宋_GBK"/>
          <w:sz w:val="32"/>
          <w:szCs w:val="32"/>
          <w:lang w:eastAsia="zh-CN"/>
        </w:rPr>
        <w:t>码）、“两码一证”情况（</w:t>
      </w:r>
      <w:r>
        <w:rPr>
          <w:rFonts w:hint="default" w:ascii="Times New Roman" w:hAnsi="Times New Roman" w:eastAsia="方正仿宋_GBK" w:cs="方正仿宋_GBK"/>
          <w:sz w:val="32"/>
          <w:szCs w:val="32"/>
          <w:lang w:eastAsia="zh-CN"/>
        </w:rPr>
        <w:t>健康码、行程码</w:t>
      </w:r>
      <w:r>
        <w:rPr>
          <w:rFonts w:hint="eastAsia" w:ascii="Times New Roman" w:hAnsi="Times New Roman" w:eastAsia="方正仿宋_GBK" w:cs="方正仿宋_GBK"/>
          <w:sz w:val="32"/>
          <w:szCs w:val="32"/>
          <w:lang w:eastAsia="zh-CN"/>
        </w:rPr>
        <w:t>、</w:t>
      </w:r>
      <w:r>
        <w:rPr>
          <w:rFonts w:hint="default" w:ascii="Times New Roman" w:hAnsi="Times New Roman" w:eastAsia="方正仿宋_GBK" w:cs="方正仿宋_GBK"/>
          <w:sz w:val="32"/>
          <w:szCs w:val="32"/>
          <w:lang w:val="en-US" w:eastAsia="zh-CN"/>
        </w:rPr>
        <w:t>核酸检测48小时</w:t>
      </w:r>
      <w:r>
        <w:rPr>
          <w:rFonts w:hint="eastAsia" w:ascii="Times New Roman" w:hAnsi="Times New Roman" w:eastAsia="方正仿宋_GBK" w:cs="方正仿宋_GBK"/>
          <w:sz w:val="32"/>
          <w:szCs w:val="32"/>
          <w:lang w:val="en-US" w:eastAsia="zh-CN"/>
        </w:rPr>
        <w:t>内</w:t>
      </w:r>
      <w:r>
        <w:rPr>
          <w:rFonts w:hint="default" w:ascii="Times New Roman" w:hAnsi="Times New Roman" w:eastAsia="方正仿宋_GBK" w:cs="方正仿宋_GBK"/>
          <w:sz w:val="32"/>
          <w:szCs w:val="32"/>
          <w:lang w:val="en-US" w:eastAsia="zh-CN"/>
        </w:rPr>
        <w:t>阴</w:t>
      </w:r>
      <w:r>
        <w:rPr>
          <w:rFonts w:hint="eastAsia" w:ascii="Times New Roman" w:hAnsi="Times New Roman" w:eastAsia="方正仿宋_GBK" w:cs="方正仿宋_GBK"/>
          <w:sz w:val="32"/>
          <w:szCs w:val="32"/>
          <w:lang w:val="en-US" w:eastAsia="zh-CN"/>
        </w:rPr>
        <w:t>性</w:t>
      </w:r>
      <w:r>
        <w:rPr>
          <w:rFonts w:hint="default" w:ascii="Times New Roman" w:hAnsi="Times New Roman" w:eastAsia="方正仿宋_GBK" w:cs="方正仿宋_GBK"/>
          <w:sz w:val="32"/>
          <w:szCs w:val="32"/>
          <w:lang w:val="en-US" w:eastAsia="zh-CN"/>
        </w:rPr>
        <w:t>证</w:t>
      </w:r>
      <w:r>
        <w:rPr>
          <w:rFonts w:hint="eastAsia" w:ascii="Times New Roman" w:hAnsi="Times New Roman" w:eastAsia="方正仿宋_GBK" w:cs="方正仿宋_GBK"/>
          <w:sz w:val="32"/>
          <w:szCs w:val="32"/>
          <w:lang w:val="en-US" w:eastAsia="zh-CN"/>
        </w:rPr>
        <w:t>明</w:t>
      </w:r>
      <w:r>
        <w:rPr>
          <w:rFonts w:hint="eastAsia" w:ascii="Times New Roman" w:hAnsi="Times New Roman" w:eastAsia="方正仿宋_GBK" w:cs="方正仿宋_GBK"/>
          <w:sz w:val="32"/>
          <w:szCs w:val="32"/>
          <w:lang w:eastAsia="zh-CN"/>
        </w:rPr>
        <w:t>）以及</w:t>
      </w:r>
      <w:r>
        <w:rPr>
          <w:rFonts w:hint="default" w:ascii="Times New Roman" w:hAnsi="Times New Roman" w:eastAsia="方正仿宋_GBK" w:cs="方正仿宋_GBK"/>
          <w:sz w:val="32"/>
          <w:szCs w:val="32"/>
          <w:lang w:val="en-US" w:eastAsia="zh-CN"/>
        </w:rPr>
        <w:t>货运</w:t>
      </w:r>
      <w:r>
        <w:rPr>
          <w:rFonts w:hint="eastAsia" w:ascii="Times New Roman" w:hAnsi="Times New Roman" w:eastAsia="方正仿宋_GBK" w:cs="方正仿宋_GBK"/>
          <w:sz w:val="32"/>
          <w:szCs w:val="32"/>
          <w:lang w:val="en-US" w:eastAsia="zh-CN"/>
        </w:rPr>
        <w:t>始发地、目的地、拟入长路口、</w:t>
      </w:r>
      <w:r>
        <w:rPr>
          <w:rFonts w:hint="default" w:ascii="Times New Roman" w:hAnsi="Times New Roman" w:eastAsia="方正仿宋_GBK" w:cs="方正仿宋_GBK"/>
          <w:sz w:val="32"/>
          <w:szCs w:val="32"/>
          <w:lang w:eastAsia="zh-CN"/>
        </w:rPr>
        <w:t>来长</w:t>
      </w:r>
      <w:r>
        <w:rPr>
          <w:rFonts w:hint="eastAsia" w:ascii="Times New Roman" w:hAnsi="Times New Roman" w:eastAsia="方正仿宋_GBK" w:cs="方正仿宋_GBK"/>
          <w:sz w:val="32"/>
          <w:szCs w:val="32"/>
          <w:lang w:eastAsia="zh-CN"/>
        </w:rPr>
        <w:t>离</w:t>
      </w:r>
      <w:r>
        <w:rPr>
          <w:rFonts w:hint="default" w:ascii="Times New Roman" w:hAnsi="Times New Roman" w:eastAsia="方正仿宋_GBK" w:cs="方正仿宋_GBK"/>
          <w:sz w:val="32"/>
          <w:szCs w:val="32"/>
          <w:lang w:eastAsia="zh-CN"/>
        </w:rPr>
        <w:t>长时间</w:t>
      </w:r>
      <w:r>
        <w:rPr>
          <w:rFonts w:hint="eastAsia" w:ascii="Times New Roman" w:hAnsi="Times New Roman" w:eastAsia="方正仿宋_GBK" w:cs="方正仿宋_GBK"/>
          <w:sz w:val="32"/>
          <w:szCs w:val="32"/>
          <w:lang w:eastAsia="zh-CN"/>
        </w:rPr>
        <w:t>、在长停</w:t>
      </w:r>
      <w:r>
        <w:rPr>
          <w:rFonts w:hint="eastAsia" w:ascii="Times New Roman" w:hAnsi="Times New Roman" w:eastAsia="方正仿宋_GBK" w:cs="方正仿宋_GBK"/>
          <w:sz w:val="32"/>
          <w:szCs w:val="32"/>
          <w:lang w:val="en-US" w:eastAsia="zh-CN"/>
        </w:rPr>
        <w:t>留时间、过夜</w:t>
      </w:r>
      <w:r>
        <w:rPr>
          <w:rFonts w:hint="default" w:ascii="Times New Roman" w:hAnsi="Times New Roman" w:eastAsia="方正仿宋_GBK" w:cs="方正仿宋_GBK"/>
          <w:sz w:val="32"/>
          <w:szCs w:val="32"/>
          <w:lang w:val="en-US" w:eastAsia="zh-CN"/>
        </w:rPr>
        <w:t>司</w:t>
      </w:r>
      <w:r>
        <w:rPr>
          <w:rFonts w:hint="eastAsia" w:ascii="Times New Roman" w:hAnsi="Times New Roman" w:eastAsia="方正仿宋_GBK" w:cs="方正仿宋_GBK"/>
          <w:sz w:val="32"/>
          <w:szCs w:val="32"/>
          <w:lang w:val="en-US" w:eastAsia="zh-CN"/>
        </w:rPr>
        <w:t>乘人员住宿</w:t>
      </w:r>
      <w:r>
        <w:rPr>
          <w:rFonts w:hint="default" w:ascii="Times New Roman" w:hAnsi="Times New Roman" w:eastAsia="方正仿宋_GBK" w:cs="方正仿宋_GBK"/>
          <w:sz w:val="32"/>
          <w:szCs w:val="32"/>
          <w:lang w:val="en-US" w:eastAsia="zh-CN"/>
        </w:rPr>
        <w:t>地等信息</w:t>
      </w:r>
      <w:r>
        <w:rPr>
          <w:rFonts w:hint="eastAsia" w:ascii="Times New Roman" w:hAnsi="Times New Roman" w:eastAsia="方正仿宋_GBK" w:cs="方正仿宋_GBK"/>
          <w:sz w:val="32"/>
          <w:szCs w:val="32"/>
          <w:lang w:val="en-US" w:eastAsia="zh-CN"/>
        </w:rPr>
        <w:t>。货主企业和</w:t>
      </w:r>
      <w:r>
        <w:rPr>
          <w:rFonts w:hint="default" w:ascii="Times New Roman" w:hAnsi="Times New Roman" w:eastAsia="方正仿宋_GBK" w:cs="方正仿宋_GBK"/>
          <w:sz w:val="32"/>
          <w:szCs w:val="32"/>
          <w:lang w:val="en-US" w:eastAsia="zh-CN"/>
        </w:rPr>
        <w:t>司</w:t>
      </w:r>
      <w:r>
        <w:rPr>
          <w:rFonts w:hint="eastAsia" w:ascii="Times New Roman" w:hAnsi="Times New Roman" w:eastAsia="方正仿宋_GBK" w:cs="方正仿宋_GBK"/>
          <w:sz w:val="32"/>
          <w:szCs w:val="32"/>
          <w:lang w:val="en-US" w:eastAsia="zh-CN"/>
        </w:rPr>
        <w:t>乘</w:t>
      </w:r>
      <w:r>
        <w:rPr>
          <w:rFonts w:hint="default" w:ascii="Times New Roman" w:hAnsi="Times New Roman" w:eastAsia="方正仿宋_GBK" w:cs="方正仿宋_GBK"/>
          <w:sz w:val="32"/>
          <w:szCs w:val="32"/>
          <w:lang w:val="en-US" w:eastAsia="zh-CN"/>
        </w:rPr>
        <w:t>人</w:t>
      </w:r>
      <w:r>
        <w:rPr>
          <w:rFonts w:hint="eastAsia" w:ascii="Times New Roman" w:hAnsi="Times New Roman" w:eastAsia="方正仿宋_GBK" w:cs="方正仿宋_GBK"/>
          <w:sz w:val="32"/>
          <w:szCs w:val="32"/>
          <w:lang w:val="en-US" w:eastAsia="zh-CN"/>
        </w:rPr>
        <w:t>员需对提</w:t>
      </w:r>
      <w:r>
        <w:rPr>
          <w:rFonts w:hint="eastAsia" w:ascii="Times New Roman" w:hAnsi="Times New Roman" w:eastAsia="方正仿宋_GBK" w:cs="方正仿宋_GBK"/>
          <w:sz w:val="32"/>
          <w:szCs w:val="32"/>
          <w:lang w:eastAsia="zh-CN"/>
        </w:rPr>
        <w:t>交的材料进行审核并对其真实性负责。</w:t>
      </w:r>
    </w:p>
    <w:p>
      <w:pPr>
        <w:widowControl w:val="0"/>
        <w:wordWrap/>
        <w:adjustRightInd/>
        <w:snapToGrid/>
        <w:spacing w:line="594" w:lineRule="exact"/>
        <w:ind w:firstLine="640" w:firstLineChars="200"/>
        <w:textAlignment w:val="auto"/>
        <w:rPr>
          <w:rFonts w:hint="default"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eastAsia="zh-CN"/>
        </w:rPr>
        <w:t>货主企业或驾驶员</w:t>
      </w:r>
      <w:r>
        <w:rPr>
          <w:rFonts w:hint="eastAsia" w:ascii="Times New Roman" w:hAnsi="Times New Roman" w:eastAsia="方正仿宋_GBK" w:cs="方正仿宋_GBK"/>
          <w:sz w:val="32"/>
          <w:szCs w:val="32"/>
          <w:lang w:val="en-US" w:eastAsia="zh-CN"/>
        </w:rPr>
        <w:t>可以通过填写《申报表》并加盖公司鲜章的扫描件进行申报备案。待区大数据发展局与区交通局联合开发的手机APP上线运行后也可通过手机APP的方式进行申报备案。申报流程将另行通知。</w:t>
      </w: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val="en-US" w:eastAsia="zh-CN"/>
        </w:rPr>
        <w:t>2.工作专班办公室</w:t>
      </w:r>
      <w:r>
        <w:rPr>
          <w:rFonts w:hint="eastAsia" w:ascii="Times New Roman" w:hAnsi="Times New Roman" w:eastAsia="方正仿宋_GBK" w:cs="方正仿宋_GBK"/>
          <w:sz w:val="32"/>
          <w:szCs w:val="32"/>
          <w:lang w:eastAsia="zh-CN"/>
        </w:rPr>
        <w:t>对货主企</w:t>
      </w:r>
      <w:r>
        <w:rPr>
          <w:rFonts w:hint="eastAsia" w:ascii="Times New Roman" w:hAnsi="Times New Roman" w:eastAsia="方正仿宋_GBK" w:cs="方正仿宋_GBK"/>
          <w:sz w:val="32"/>
          <w:szCs w:val="32"/>
          <w:lang w:val="en-US" w:eastAsia="zh-CN"/>
        </w:rPr>
        <w:t>业和</w:t>
      </w:r>
      <w:r>
        <w:rPr>
          <w:rFonts w:hint="default" w:ascii="Times New Roman" w:hAnsi="Times New Roman" w:eastAsia="方正仿宋_GBK" w:cs="方正仿宋_GBK"/>
          <w:sz w:val="32"/>
          <w:szCs w:val="32"/>
          <w:lang w:val="en-US" w:eastAsia="zh-CN"/>
        </w:rPr>
        <w:t>司</w:t>
      </w:r>
      <w:r>
        <w:rPr>
          <w:rFonts w:hint="eastAsia" w:ascii="Times New Roman" w:hAnsi="Times New Roman" w:eastAsia="方正仿宋_GBK" w:cs="方正仿宋_GBK"/>
          <w:sz w:val="32"/>
          <w:szCs w:val="32"/>
          <w:lang w:val="en-US" w:eastAsia="zh-CN"/>
        </w:rPr>
        <w:t>乘人员申</w:t>
      </w:r>
      <w:r>
        <w:rPr>
          <w:rFonts w:hint="eastAsia" w:ascii="Times New Roman" w:hAnsi="Times New Roman" w:eastAsia="方正仿宋_GBK" w:cs="方正仿宋_GBK"/>
          <w:sz w:val="32"/>
          <w:szCs w:val="32"/>
          <w:lang w:eastAsia="zh-CN"/>
        </w:rPr>
        <w:t>报信息进行复核、备案、汇总后，及时将备案后的汇总情况推送到对应的核酸检测服务点。各点长牵头负责开展相应的管理服务工作。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（二）分类管理服务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1.对</w:t>
      </w:r>
      <w:r>
        <w:rPr>
          <w:rFonts w:hint="default" w:ascii="方正楷体_GBK" w:hAnsi="方正楷体_GBK" w:eastAsia="方正楷体_GBK" w:cs="方正楷体_GBK"/>
          <w:sz w:val="32"/>
          <w:szCs w:val="32"/>
          <w:lang w:val="en-US" w:eastAsia="zh-CN"/>
        </w:rPr>
        <w:t>已</w:t>
      </w:r>
      <w:r>
        <w:rPr>
          <w:rFonts w:hint="eastAsia" w:ascii="方正楷体_GBK" w:hAnsi="方正楷体_GBK" w:eastAsia="方正楷体_GBK" w:cs="方正楷体_GBK"/>
          <w:sz w:val="32"/>
          <w:szCs w:val="32"/>
          <w:lang w:val="en-US" w:eastAsia="zh-CN"/>
        </w:rPr>
        <w:t>报备的货车和司乘人员快速放行</w:t>
      </w:r>
    </w:p>
    <w:p>
      <w:pPr>
        <w:widowControl w:val="0"/>
        <w:wordWrap/>
        <w:adjustRightInd/>
        <w:snapToGrid/>
        <w:spacing w:line="594" w:lineRule="exact"/>
        <w:ind w:firstLine="640" w:firstLineChars="200"/>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eastAsia="zh-CN"/>
        </w:rPr>
        <w:t>对来自低风险地区或常态化管控地区的货车和司乘人员，服务点对已报备的货车和司乘人员在核对车牌号后快速放行。</w:t>
      </w:r>
    </w:p>
    <w:p>
      <w:pPr>
        <w:widowControl w:val="0"/>
        <w:wordWrap/>
        <w:adjustRightInd/>
        <w:snapToGrid/>
        <w:spacing w:line="594" w:lineRule="exact"/>
        <w:ind w:firstLine="640" w:firstLineChars="20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eastAsia="zh-CN"/>
        </w:rPr>
        <w:t>对来自中高风险地区的货车和司乘人员，服务点</w:t>
      </w:r>
      <w:r>
        <w:rPr>
          <w:rFonts w:hint="eastAsia" w:ascii="Times New Roman" w:hAnsi="Times New Roman" w:eastAsia="方正仿宋_GBK" w:cs="方正仿宋_GBK"/>
          <w:sz w:val="32"/>
          <w:szCs w:val="32"/>
          <w:lang w:val="en-US" w:eastAsia="zh-CN"/>
        </w:rPr>
        <w:t>对已备案的货车和司乘人员，重点核验货车车牌号和驾乘人员身份证信息，无误后快速放行。放行时，货主企业须提前派专车专人实行点对点引离（高速路出口到装卸货区），负责落实车辆消杀和司乘人员闭环管理等措施。对当天离长的，继续实行点对点引离（装卸货区到高速路入口）；对当天不离长的，驾乘</w:t>
      </w:r>
      <w:r>
        <w:rPr>
          <w:rFonts w:hint="default" w:ascii="Times New Roman" w:hAnsi="Times New Roman" w:eastAsia="方正仿宋_GBK" w:cs="方正仿宋_GBK"/>
          <w:sz w:val="32"/>
          <w:szCs w:val="32"/>
          <w:lang w:val="en-US" w:eastAsia="zh-CN"/>
        </w:rPr>
        <w:t>人</w:t>
      </w:r>
      <w:r>
        <w:rPr>
          <w:rFonts w:hint="eastAsia" w:ascii="Times New Roman" w:hAnsi="Times New Roman" w:eastAsia="方正仿宋_GBK" w:cs="方正仿宋_GBK"/>
          <w:sz w:val="32"/>
          <w:szCs w:val="32"/>
          <w:lang w:val="en-US" w:eastAsia="zh-CN"/>
        </w:rPr>
        <w:t>员应就地做核酸</w:t>
      </w:r>
      <w:r>
        <w:rPr>
          <w:rFonts w:hint="default" w:ascii="Times New Roman" w:hAnsi="Times New Roman" w:eastAsia="方正仿宋_GBK" w:cs="方正仿宋_GBK"/>
          <w:sz w:val="32"/>
          <w:szCs w:val="32"/>
          <w:lang w:val="en-US" w:eastAsia="zh-CN"/>
        </w:rPr>
        <w:t>检</w:t>
      </w:r>
      <w:r>
        <w:rPr>
          <w:rFonts w:hint="eastAsia" w:ascii="Times New Roman" w:hAnsi="Times New Roman" w:eastAsia="方正仿宋_GBK" w:cs="方正仿宋_GBK"/>
          <w:sz w:val="32"/>
          <w:szCs w:val="32"/>
          <w:lang w:val="en-US" w:eastAsia="zh-CN"/>
        </w:rPr>
        <w:t>测，并由货主企业继续落实闭环管理和第二天点对点引离（住宿区到高速路入口）。</w:t>
      </w:r>
    </w:p>
    <w:p>
      <w:pPr>
        <w:widowControl w:val="0"/>
        <w:wordWrap/>
        <w:adjustRightInd/>
        <w:snapToGrid/>
        <w:spacing w:line="594" w:lineRule="exact"/>
        <w:ind w:firstLine="640" w:firstLineChars="20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eastAsia="zh-CN"/>
        </w:rPr>
        <w:t>对来自低风险地区或常态化管控地区的货车和司乘人员，同时也是交通信息系统推送的需查验车辆，</w:t>
      </w:r>
      <w:r>
        <w:rPr>
          <w:rFonts w:hint="eastAsia" w:ascii="Times New Roman" w:hAnsi="Times New Roman" w:eastAsia="方正仿宋_GBK" w:cs="方正仿宋_GBK"/>
          <w:sz w:val="32"/>
          <w:szCs w:val="32"/>
          <w:lang w:val="en-US" w:eastAsia="zh-CN"/>
        </w:rPr>
        <w:t>则按照相关工作要求完成查验、扫描等工作后放行。</w:t>
      </w:r>
    </w:p>
    <w:p>
      <w:pPr>
        <w:widowControl w:val="0"/>
        <w:wordWrap/>
        <w:adjustRightInd/>
        <w:snapToGrid/>
        <w:spacing w:line="594" w:lineRule="exact"/>
        <w:ind w:firstLine="640" w:firstLineChars="20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对来自中高风险地区货车和司乘人员，同时也是交通信息系统推送的需查验车辆，则按照现行工作要求完成查验、扫描等工作后，由货主企业负责落实车辆消杀和司乘人员闭环管理等措施。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2.对未提前报备的货车和司乘人员</w:t>
      </w:r>
      <w:r>
        <w:rPr>
          <w:rFonts w:hint="default" w:ascii="方正楷体_GBK" w:hAnsi="方正楷体_GBK" w:eastAsia="方正楷体_GBK" w:cs="方正楷体_GBK"/>
          <w:sz w:val="32"/>
          <w:szCs w:val="32"/>
          <w:lang w:val="en-US" w:eastAsia="zh-CN"/>
        </w:rPr>
        <w:t>查</w:t>
      </w:r>
      <w:r>
        <w:rPr>
          <w:rFonts w:hint="eastAsia" w:ascii="方正楷体_GBK" w:hAnsi="方正楷体_GBK" w:eastAsia="方正楷体_GBK" w:cs="方正楷体_GBK"/>
          <w:sz w:val="32"/>
          <w:szCs w:val="32"/>
          <w:lang w:val="en-US" w:eastAsia="zh-CN"/>
        </w:rPr>
        <w:t>验</w:t>
      </w:r>
      <w:r>
        <w:rPr>
          <w:rFonts w:hint="default" w:ascii="方正楷体_GBK" w:hAnsi="方正楷体_GBK" w:eastAsia="方正楷体_GBK" w:cs="方正楷体_GBK"/>
          <w:sz w:val="32"/>
          <w:szCs w:val="32"/>
          <w:lang w:val="en-US" w:eastAsia="zh-CN"/>
        </w:rPr>
        <w:t>放</w:t>
      </w:r>
      <w:r>
        <w:rPr>
          <w:rFonts w:hint="eastAsia" w:ascii="方正楷体_GBK" w:hAnsi="方正楷体_GBK" w:eastAsia="方正楷体_GBK" w:cs="方正楷体_GBK"/>
          <w:sz w:val="32"/>
          <w:szCs w:val="32"/>
          <w:lang w:val="en-US" w:eastAsia="zh-CN"/>
        </w:rPr>
        <w:t>行</w:t>
      </w:r>
    </w:p>
    <w:p>
      <w:pPr>
        <w:widowControl w:val="0"/>
        <w:wordWrap/>
        <w:adjustRightInd/>
        <w:snapToGrid/>
        <w:spacing w:line="594" w:lineRule="exact"/>
        <w:ind w:firstLine="640" w:firstLineChars="20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eastAsia="zh-CN"/>
        </w:rPr>
        <w:t>对来自低风险地区或常态化管控地区的未报备的货车和司乘人员</w:t>
      </w:r>
      <w:r>
        <w:rPr>
          <w:rFonts w:hint="eastAsia" w:ascii="Times New Roman" w:hAnsi="Times New Roman" w:eastAsia="方正仿宋_GBK" w:cs="方正仿宋_GBK"/>
          <w:sz w:val="32"/>
          <w:szCs w:val="32"/>
          <w:lang w:val="en-US" w:eastAsia="zh-CN"/>
        </w:rPr>
        <w:t>，将按现行查验规定执行。即严格查验司乘</w:t>
      </w:r>
      <w:r>
        <w:rPr>
          <w:rFonts w:hint="default" w:ascii="Times New Roman" w:hAnsi="Times New Roman" w:eastAsia="方正仿宋_GBK" w:cs="方正仿宋_GBK"/>
          <w:sz w:val="32"/>
          <w:szCs w:val="32"/>
          <w:lang w:val="en-US" w:eastAsia="zh-CN"/>
        </w:rPr>
        <w:t>人</w:t>
      </w:r>
      <w:r>
        <w:rPr>
          <w:rFonts w:hint="eastAsia" w:ascii="Times New Roman" w:hAnsi="Times New Roman" w:eastAsia="方正仿宋_GBK" w:cs="方正仿宋_GBK"/>
          <w:sz w:val="32"/>
          <w:szCs w:val="32"/>
          <w:lang w:val="en-US" w:eastAsia="zh-CN"/>
        </w:rPr>
        <w:t>员的“两码一证”，落实入长即检，填报“社区报告二维码”，对市外来长货车督促其扫描“入渝码”，发放健康告知书，即可放行。</w:t>
      </w:r>
    </w:p>
    <w:p>
      <w:pPr>
        <w:widowControl w:val="0"/>
        <w:wordWrap/>
        <w:adjustRightInd/>
        <w:snapToGrid/>
        <w:spacing w:line="594" w:lineRule="exact"/>
        <w:ind w:firstLine="640" w:firstLineChars="20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对来自中高风险地区的未报备的货车和司乘人员，将按现行查验规定执行。即严格查验司乘</w:t>
      </w:r>
      <w:r>
        <w:rPr>
          <w:rFonts w:hint="default" w:ascii="Times New Roman" w:hAnsi="Times New Roman" w:eastAsia="方正仿宋_GBK" w:cs="方正仿宋_GBK"/>
          <w:sz w:val="32"/>
          <w:szCs w:val="32"/>
          <w:lang w:val="en-US" w:eastAsia="zh-CN"/>
        </w:rPr>
        <w:t>人</w:t>
      </w:r>
      <w:r>
        <w:rPr>
          <w:rFonts w:hint="eastAsia" w:ascii="Times New Roman" w:hAnsi="Times New Roman" w:eastAsia="方正仿宋_GBK" w:cs="方正仿宋_GBK"/>
          <w:sz w:val="32"/>
          <w:szCs w:val="32"/>
          <w:lang w:val="en-US" w:eastAsia="zh-CN"/>
        </w:rPr>
        <w:t>员的“两码一证”，落实入长必检，填报“社区报告二维码”，市外来长货车督促其扫描“入渝码”，发放健康告知书，即可放行。放行前货主企业须提前派专车专人实行点对点引离（高速路出口到装卸货区），负责落实车辆消杀和司乘人员闭环管理措施。对当天离长的，继续实行点对点引离（装卸货区到高速路入口），货主企业第一时间向工作专班办公室补充报备手续；对当天不离长的，驾乘</w:t>
      </w:r>
      <w:r>
        <w:rPr>
          <w:rFonts w:hint="default" w:ascii="Times New Roman" w:hAnsi="Times New Roman" w:eastAsia="方正仿宋_GBK" w:cs="方正仿宋_GBK"/>
          <w:sz w:val="32"/>
          <w:szCs w:val="32"/>
          <w:lang w:val="en-US" w:eastAsia="zh-CN"/>
        </w:rPr>
        <w:t>人</w:t>
      </w:r>
      <w:r>
        <w:rPr>
          <w:rFonts w:hint="eastAsia" w:ascii="Times New Roman" w:hAnsi="Times New Roman" w:eastAsia="方正仿宋_GBK" w:cs="方正仿宋_GBK"/>
          <w:sz w:val="32"/>
          <w:szCs w:val="32"/>
          <w:lang w:val="en-US" w:eastAsia="zh-CN"/>
        </w:rPr>
        <w:t>员应就地做1次核酸</w:t>
      </w:r>
      <w:r>
        <w:rPr>
          <w:rFonts w:hint="default" w:ascii="Times New Roman" w:hAnsi="Times New Roman" w:eastAsia="方正仿宋_GBK" w:cs="方正仿宋_GBK"/>
          <w:sz w:val="32"/>
          <w:szCs w:val="32"/>
          <w:lang w:val="en-US" w:eastAsia="zh-CN"/>
        </w:rPr>
        <w:t>检</w:t>
      </w:r>
      <w:r>
        <w:rPr>
          <w:rFonts w:hint="eastAsia" w:ascii="Times New Roman" w:hAnsi="Times New Roman" w:eastAsia="方正仿宋_GBK" w:cs="方正仿宋_GBK"/>
          <w:sz w:val="32"/>
          <w:szCs w:val="32"/>
          <w:lang w:val="en-US" w:eastAsia="zh-CN"/>
        </w:rPr>
        <w:t>测，并由货主企业继续落实闭环管理措施和第二天点对点引离（住宿区到高速路入口），货主企业应在第一时间向工作专班办公室补充报备手续，并在货车离长后及时报备销号。</w:t>
      </w:r>
    </w:p>
    <w:p>
      <w:pPr>
        <w:widowControl w:val="0"/>
        <w:numPr>
          <w:ilvl w:val="0"/>
          <w:numId w:val="0"/>
        </w:numPr>
        <w:wordWrap/>
        <w:adjustRightInd/>
        <w:snapToGrid/>
        <w:spacing w:line="560" w:lineRule="exact"/>
        <w:ind w:firstLine="640"/>
        <w:textAlignment w:val="auto"/>
        <w:rPr>
          <w:rFonts w:hint="eastAsia" w:ascii="Times New Roman" w:hAnsi="Times New Roman"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查验两码异常的，对司乘人员就地进行临时管控，并按相关规定交由目的地街镇落实分类管控措施。同时，服务点开展车辆消杀工作，由</w:t>
      </w:r>
      <w:r>
        <w:rPr>
          <w:rFonts w:hint="eastAsia" w:ascii="Times New Roman" w:hAnsi="Times New Roman" w:eastAsia="方正仿宋_GBK" w:cs="方正仿宋_GBK"/>
          <w:sz w:val="32"/>
          <w:szCs w:val="32"/>
          <w:lang w:val="en-US" w:eastAsia="zh-CN"/>
        </w:rPr>
        <w:t>货主企业安排有防护措施的司机将货车驶离服务点</w:t>
      </w:r>
      <w:r>
        <w:rPr>
          <w:rFonts w:hint="eastAsia" w:ascii="方正仿宋_GBK" w:hAnsi="方正仿宋_GBK" w:eastAsia="方正仿宋_GBK" w:cs="方正仿宋_GBK"/>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3.成都、贵阳等重点地区</w:t>
      </w:r>
      <w:r>
        <w:rPr>
          <w:rFonts w:hint="default" w:ascii="方正楷体_GBK" w:hAnsi="方正楷体_GBK" w:eastAsia="方正楷体_GBK" w:cs="方正楷体_GBK"/>
          <w:sz w:val="32"/>
          <w:szCs w:val="32"/>
          <w:lang w:val="en-US" w:eastAsia="zh-CN"/>
        </w:rPr>
        <w:t>来长</w:t>
      </w:r>
      <w:r>
        <w:rPr>
          <w:rFonts w:hint="eastAsia" w:ascii="方正楷体_GBK" w:hAnsi="方正楷体_GBK" w:eastAsia="方正楷体_GBK" w:cs="方正楷体_GBK"/>
          <w:sz w:val="32"/>
          <w:szCs w:val="32"/>
          <w:lang w:val="en-US" w:eastAsia="zh-CN"/>
        </w:rPr>
        <w:t>货车和司乘人员按照重庆市疫情防控领导小组交通防控组的最新文件要求执行。</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即严格查验司乘</w:t>
      </w:r>
      <w:r>
        <w:rPr>
          <w:rFonts w:hint="default" w:ascii="Times New Roman" w:hAnsi="Times New Roman" w:eastAsia="方正仿宋_GBK" w:cs="方正仿宋_GBK"/>
          <w:sz w:val="32"/>
          <w:szCs w:val="32"/>
          <w:lang w:val="en-US" w:eastAsia="zh-CN"/>
        </w:rPr>
        <w:t>人</w:t>
      </w:r>
      <w:r>
        <w:rPr>
          <w:rFonts w:hint="eastAsia" w:ascii="Times New Roman" w:hAnsi="Times New Roman" w:eastAsia="方正仿宋_GBK" w:cs="方正仿宋_GBK"/>
          <w:sz w:val="32"/>
          <w:szCs w:val="32"/>
          <w:lang w:val="en-US" w:eastAsia="zh-CN"/>
        </w:rPr>
        <w:t>员的“两码一证”，就地就近做1次核酸检测，落实入长必检，不扫描“入渝码”，不填报“社区报告二维码”，发放健康告知书后放行。货主企业须提前派专车专人实行点对点引离（高速路出口到装卸货区），落实闭环管理措施。</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查验两码异常的，对司乘人员就地进行临时管控，并按相关规定交由目的地街镇落实分类管控措施。同时，服务点开展车辆消杀工作，由</w:t>
      </w:r>
      <w:r>
        <w:rPr>
          <w:rFonts w:hint="eastAsia" w:ascii="Times New Roman" w:hAnsi="Times New Roman" w:eastAsia="方正仿宋_GBK" w:cs="方正仿宋_GBK"/>
          <w:sz w:val="32"/>
          <w:szCs w:val="32"/>
          <w:lang w:val="en-US" w:eastAsia="zh-CN"/>
        </w:rPr>
        <w:t>货主企业安排有防护措施的司机将货车驶离服务点</w:t>
      </w:r>
      <w:r>
        <w:rPr>
          <w:rFonts w:hint="eastAsia" w:ascii="方正仿宋_GBK" w:hAnsi="方正仿宋_GBK" w:eastAsia="方正仿宋_GBK" w:cs="方正仿宋_GBK"/>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（三）闭环管理措施</w:t>
      </w:r>
    </w:p>
    <w:p>
      <w:pPr>
        <w:widowControl w:val="0"/>
        <w:numPr>
          <w:ilvl w:val="0"/>
          <w:numId w:val="0"/>
        </w:numPr>
        <w:wordWrap/>
        <w:adjustRightInd/>
        <w:snapToGrid/>
        <w:spacing w:line="560" w:lineRule="exact"/>
        <w:ind w:firstLine="64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1.装卸货物期间，驾乘人员原则不下车，不接触装卸人员。货主企业可提前为驾乘人员安排专用洗漱间，以备急需，用后及时消杀；饭点时可安排车上就餐，送餐时人员不接触。</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需在长寿区过夜的司乘人员，核酸检测后，由货主企业负责引领司乘人员到指定的住宿点食宿，不外出、不聚餐，货车停靠到指定的停车场。（长寿经开区指定住宿点为明宇危化品车辆服务中心，联系人：胡剑锋，联系电话：18696515830；长寿高新区指定住宿点为</w:t>
      </w:r>
      <w:r>
        <w:rPr>
          <w:rFonts w:hint="eastAsia" w:ascii="Times New Roman" w:hAnsi="Times New Roman" w:eastAsia="方正仿宋_GBK" w:cs="Times New Roman"/>
          <w:sz w:val="32"/>
          <w:szCs w:val="32"/>
          <w:lang w:val="en-US" w:eastAsia="zh-CN"/>
        </w:rPr>
        <w:t>新市华府珊汇酒店，联系人：刘洋，联系电话：13617633998</w:t>
      </w:r>
      <w:r>
        <w:rPr>
          <w:rFonts w:hint="default" w:ascii="Times New Roman" w:hAnsi="Times New Roman" w:eastAsia="方正仿宋_GBK" w:cs="Times New Roman"/>
          <w:sz w:val="32"/>
          <w:szCs w:val="32"/>
          <w:lang w:val="en-US" w:eastAsia="zh-CN"/>
        </w:rPr>
        <w:t>；三科农商城指定住宿点为麓湾酒店6楼，联系人：梅杰，联系电话：13983578255）</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3.成都、贵阳</w:t>
      </w:r>
      <w:r>
        <w:rPr>
          <w:rFonts w:hint="eastAsia" w:ascii="Times New Roman" w:hAnsi="Times New Roman" w:eastAsia="方正仿宋_GBK" w:cs="Times New Roman"/>
          <w:sz w:val="32"/>
          <w:szCs w:val="32"/>
          <w:lang w:val="en-US" w:eastAsia="zh-CN"/>
        </w:rPr>
        <w:t>等重点</w:t>
      </w:r>
      <w:r>
        <w:rPr>
          <w:rFonts w:hint="default" w:ascii="Times New Roman" w:hAnsi="Times New Roman" w:eastAsia="方正仿宋_GBK" w:cs="Times New Roman"/>
          <w:sz w:val="32"/>
          <w:szCs w:val="32"/>
          <w:lang w:val="en-US" w:eastAsia="zh-CN"/>
        </w:rPr>
        <w:t>地区来长货车和司乘人员严格按照渝交防控﹝2022﹞1</w:t>
      </w:r>
      <w:r>
        <w:rPr>
          <w:rFonts w:hint="eastAsia" w:ascii="Times New Roman" w:hAnsi="Times New Roman" w:eastAsia="方正仿宋_GBK" w:cs="Times New Roman"/>
          <w:sz w:val="32"/>
          <w:szCs w:val="32"/>
          <w:lang w:val="en-US" w:eastAsia="zh-CN"/>
        </w:rPr>
        <w:t>1</w:t>
      </w:r>
      <w:r>
        <w:rPr>
          <w:rFonts w:hint="default" w:ascii="Times New Roman" w:hAnsi="Times New Roman" w:eastAsia="方正仿宋_GBK" w:cs="Times New Roman"/>
          <w:sz w:val="32"/>
          <w:szCs w:val="32"/>
          <w:lang w:val="en-US" w:eastAsia="zh-CN"/>
        </w:rPr>
        <w:t>2号文件执行。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（四）实行离长销号</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来长货车和司乘人员离开长寿后，货主企业应第一时间向</w:t>
      </w:r>
      <w:r>
        <w:rPr>
          <w:rFonts w:hint="eastAsia" w:ascii="Times New Roman" w:hAnsi="Times New Roman" w:eastAsia="方正仿宋_GBK" w:cs="方正仿宋_GBK"/>
          <w:sz w:val="32"/>
          <w:szCs w:val="32"/>
          <w:lang w:val="en-US" w:eastAsia="zh-CN"/>
        </w:rPr>
        <w:t>工作专班办公室报备</w:t>
      </w:r>
      <w:r>
        <w:rPr>
          <w:rFonts w:hint="eastAsia" w:ascii="方正仿宋_GBK" w:hAnsi="方正仿宋_GBK" w:eastAsia="方正仿宋_GBK" w:cs="方正仿宋_GBK"/>
          <w:sz w:val="32"/>
          <w:szCs w:val="32"/>
          <w:lang w:val="en-US" w:eastAsia="zh-CN"/>
        </w:rPr>
        <w:t>，报告闭环管理措施落实情况（包括离长时间、离长路口等信息）并销号。</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销号报备方式为货主企业或驾驶员填报《货车及司乘人员离长销号表》。</w:t>
      </w:r>
      <w:r>
        <w:rPr>
          <w:rFonts w:hint="default" w:ascii="Times New Roman" w:hAnsi="Times New Roman" w:eastAsia="方正仿宋_GBK" w:cs="Times New Roman"/>
          <w:sz w:val="32"/>
          <w:szCs w:val="32"/>
          <w:lang w:val="en-US" w:eastAsia="zh-CN"/>
        </w:rPr>
        <w:t>待手机APP上线运行后也</w:t>
      </w:r>
      <w:r>
        <w:rPr>
          <w:rFonts w:hint="eastAsia" w:ascii="方正仿宋_GBK" w:hAnsi="方正仿宋_GBK" w:eastAsia="方正仿宋_GBK" w:cs="方正仿宋_GBK"/>
          <w:sz w:val="32"/>
          <w:szCs w:val="32"/>
          <w:lang w:val="en-US" w:eastAsia="zh-CN"/>
        </w:rPr>
        <w:t>可通过线上填报销号，具体流程后续通知。</w:t>
      </w:r>
    </w:p>
    <w:p>
      <w:pPr>
        <w:keepNext w:val="0"/>
        <w:keepLines w:val="0"/>
        <w:pageBreakBefore w:val="0"/>
        <w:widowControl w:val="0"/>
        <w:numPr>
          <w:ilvl w:val="0"/>
          <w:numId w:val="0"/>
        </w:numPr>
        <w:kinsoku/>
        <w:wordWrap/>
        <w:overflowPunct/>
        <w:topLinePunct w:val="0"/>
        <w:autoSpaceDE/>
        <w:autoSpaceDN/>
        <w:bidi w:val="0"/>
        <w:adjustRightInd/>
        <w:snapToGrid/>
        <w:spacing w:line="594" w:lineRule="exact"/>
        <w:ind w:firstLine="640" w:firstLineChars="200"/>
        <w:textAlignment w:val="auto"/>
        <w:rPr>
          <w:rFonts w:hint="eastAsia" w:ascii="Times New Roman" w:hAnsi="Times New Roman" w:eastAsia="方正黑体_GBK" w:cs="方正黑体_GBK"/>
          <w:color w:val="auto"/>
          <w:sz w:val="32"/>
          <w:szCs w:val="32"/>
          <w:lang w:val="en-US" w:eastAsia="zh-CN"/>
        </w:rPr>
      </w:pPr>
      <w:r>
        <w:rPr>
          <w:rFonts w:hint="eastAsia" w:ascii="Times New Roman" w:hAnsi="Times New Roman" w:eastAsia="方正黑体_GBK" w:cs="方正黑体_GBK"/>
          <w:color w:val="auto"/>
          <w:sz w:val="32"/>
          <w:szCs w:val="32"/>
          <w:lang w:val="en-US" w:eastAsia="zh-CN"/>
        </w:rPr>
        <w:t>五、工作要求</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（一）交通运输保通保畅工作专班应做好工作统筹，严格督导</w:t>
      </w:r>
      <w:r>
        <w:rPr>
          <w:rFonts w:hint="eastAsia" w:ascii="方正仿宋_GBK" w:hAnsi="方正仿宋_GBK" w:eastAsia="方正仿宋_GBK" w:cs="方正仿宋_GBK"/>
          <w:sz w:val="32"/>
          <w:szCs w:val="32"/>
          <w:lang w:val="en-US" w:eastAsia="zh-CN"/>
        </w:rPr>
        <w:t>行业部门落实监管责</w:t>
      </w:r>
      <w:r>
        <w:rPr>
          <w:rFonts w:hint="eastAsia" w:ascii="Times New Roman" w:hAnsi="Times New Roman" w:eastAsia="方正仿宋_GBK" w:cs="方正仿宋_GBK"/>
          <w:sz w:val="32"/>
          <w:szCs w:val="32"/>
          <w:lang w:val="en-US" w:eastAsia="zh-CN"/>
        </w:rPr>
        <w:t>任、企业落实主体</w:t>
      </w:r>
      <w:r>
        <w:rPr>
          <w:rFonts w:hint="eastAsia" w:ascii="方正仿宋_GBK" w:hAnsi="方正仿宋_GBK" w:eastAsia="方正仿宋_GBK" w:cs="方正仿宋_GBK"/>
          <w:sz w:val="32"/>
          <w:szCs w:val="32"/>
          <w:lang w:val="en-US" w:eastAsia="zh-CN"/>
        </w:rPr>
        <w:t>责任和</w:t>
      </w:r>
      <w:r>
        <w:rPr>
          <w:rFonts w:hint="eastAsia" w:ascii="方正仿宋_GBK" w:hAnsi="方正仿宋_GBK" w:eastAsia="方正仿宋_GBK" w:cs="方正仿宋_GBK"/>
          <w:sz w:val="32"/>
          <w:szCs w:val="32"/>
          <w:lang w:eastAsia="zh-CN"/>
        </w:rPr>
        <w:t>服务点落实</w:t>
      </w:r>
      <w:r>
        <w:rPr>
          <w:rFonts w:hint="eastAsia" w:ascii="方正仿宋_GBK" w:hAnsi="方正仿宋_GBK" w:eastAsia="方正仿宋_GBK" w:cs="方正仿宋_GBK"/>
          <w:sz w:val="32"/>
          <w:szCs w:val="32"/>
          <w:lang w:val="en-US" w:eastAsia="zh-CN"/>
        </w:rPr>
        <w:t>查验责任。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（二）</w:t>
      </w:r>
      <w:r>
        <w:rPr>
          <w:rFonts w:hint="default" w:ascii="Times New Roman" w:hAnsi="Times New Roman" w:eastAsia="方正仿宋_GBK" w:cs="方正仿宋_GBK"/>
          <w:sz w:val="32"/>
          <w:szCs w:val="32"/>
          <w:lang w:val="en-US" w:eastAsia="zh-CN"/>
        </w:rPr>
        <w:t>区</w:t>
      </w:r>
      <w:r>
        <w:rPr>
          <w:rFonts w:hint="eastAsia" w:ascii="Times New Roman" w:hAnsi="Times New Roman" w:eastAsia="方正仿宋_GBK" w:cs="方正仿宋_GBK"/>
          <w:sz w:val="32"/>
          <w:szCs w:val="32"/>
          <w:lang w:val="en-US" w:eastAsia="zh-CN"/>
        </w:rPr>
        <w:t>交通局、</w:t>
      </w:r>
      <w:r>
        <w:rPr>
          <w:rFonts w:hint="default" w:ascii="Times New Roman" w:hAnsi="Times New Roman" w:eastAsia="方正仿宋_GBK" w:cs="方正仿宋_GBK"/>
          <w:sz w:val="32"/>
          <w:szCs w:val="32"/>
          <w:lang w:val="en-US" w:eastAsia="zh-CN"/>
        </w:rPr>
        <w:t>区经</w:t>
      </w:r>
      <w:r>
        <w:rPr>
          <w:rFonts w:hint="eastAsia" w:ascii="Times New Roman" w:hAnsi="Times New Roman" w:eastAsia="方正仿宋_GBK" w:cs="方正仿宋_GBK"/>
          <w:sz w:val="32"/>
          <w:szCs w:val="32"/>
          <w:lang w:val="en-US" w:eastAsia="zh-CN"/>
        </w:rPr>
        <w:t>信委、</w:t>
      </w:r>
      <w:r>
        <w:rPr>
          <w:rFonts w:hint="default" w:ascii="Times New Roman" w:hAnsi="Times New Roman" w:eastAsia="方正仿宋_GBK" w:cs="方正仿宋_GBK"/>
          <w:sz w:val="32"/>
          <w:szCs w:val="32"/>
          <w:lang w:val="en-US" w:eastAsia="zh-CN"/>
        </w:rPr>
        <w:t>区</w:t>
      </w:r>
      <w:r>
        <w:rPr>
          <w:rFonts w:hint="eastAsia" w:ascii="Times New Roman" w:hAnsi="Times New Roman" w:eastAsia="方正仿宋_GBK" w:cs="方正仿宋_GBK"/>
          <w:sz w:val="32"/>
          <w:szCs w:val="32"/>
          <w:lang w:val="en-US" w:eastAsia="zh-CN"/>
        </w:rPr>
        <w:t>商务委、</w:t>
      </w:r>
      <w:r>
        <w:rPr>
          <w:rFonts w:hint="default" w:ascii="Times New Roman" w:hAnsi="Times New Roman" w:eastAsia="方正仿宋_GBK" w:cs="方正仿宋_GBK"/>
          <w:sz w:val="32"/>
          <w:szCs w:val="32"/>
          <w:lang w:val="en-US" w:eastAsia="zh-CN"/>
        </w:rPr>
        <w:t>区</w:t>
      </w:r>
      <w:r>
        <w:rPr>
          <w:rFonts w:hint="eastAsia" w:ascii="Times New Roman" w:hAnsi="Times New Roman" w:eastAsia="方正仿宋_GBK" w:cs="方正仿宋_GBK"/>
          <w:sz w:val="32"/>
          <w:szCs w:val="32"/>
          <w:lang w:val="en-US" w:eastAsia="zh-CN"/>
        </w:rPr>
        <w:t>农</w:t>
      </w:r>
      <w:r>
        <w:rPr>
          <w:rFonts w:hint="default" w:ascii="Times New Roman" w:hAnsi="Times New Roman" w:eastAsia="方正仿宋_GBK" w:cs="方正仿宋_GBK"/>
          <w:sz w:val="32"/>
          <w:szCs w:val="32"/>
          <w:lang w:val="en-US" w:eastAsia="zh-CN"/>
        </w:rPr>
        <w:t>业</w:t>
      </w:r>
      <w:r>
        <w:rPr>
          <w:rFonts w:hint="eastAsia" w:ascii="Times New Roman" w:hAnsi="Times New Roman" w:eastAsia="方正仿宋_GBK" w:cs="方正仿宋_GBK"/>
          <w:sz w:val="32"/>
          <w:szCs w:val="32"/>
          <w:lang w:val="en-US" w:eastAsia="zh-CN"/>
        </w:rPr>
        <w:t>农村委、经开区管委会党政办、高新区服务中心等行业主管部门要督导企业做好中高风险地区来长货车和司乘人员闭环管理工作，督导企业汇总报送货车及</w:t>
      </w:r>
      <w:r>
        <w:rPr>
          <w:rFonts w:hint="default" w:ascii="Times New Roman" w:hAnsi="Times New Roman" w:eastAsia="方正仿宋_GBK" w:cs="方正仿宋_GBK"/>
          <w:sz w:val="32"/>
          <w:szCs w:val="32"/>
          <w:lang w:val="en-US" w:eastAsia="zh-CN"/>
        </w:rPr>
        <w:t>司乘</w:t>
      </w:r>
      <w:r>
        <w:rPr>
          <w:rFonts w:hint="eastAsia" w:ascii="Times New Roman" w:hAnsi="Times New Roman" w:eastAsia="方正仿宋_GBK" w:cs="方正仿宋_GBK"/>
          <w:sz w:val="32"/>
          <w:szCs w:val="32"/>
          <w:lang w:val="en-US" w:eastAsia="zh-CN"/>
        </w:rPr>
        <w:t>人员来长、离长有关信息，督导企业问题整改销号。区新冠肺炎疫情防控督导组将对各单位工作情况进行督查督办。</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（三）交通核酸检测服务点要严格落实查码放行措施，确保检查到位、防控到位。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（四）各企业要成立专班负责对来长货车及司乘人员信息申报、审核以及闭环管理工作。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（五）因管理服务工作不到位造成疫情传播、扩散的，将严格追究相关单位的责任。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Times New Roman" w:hAnsi="Times New Roman" w:eastAsia="方正仿宋_GBK" w:cs="方正仿宋_GBK"/>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附件：1.新冠肺炎疫情防控来长返长货车及司乘人员高效通行申报表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1600" w:firstLineChars="50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2.货车及司乘人员离长销号表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1600" w:firstLineChars="50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3.交通核酸检测服务点点长联系方式</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1600" w:firstLineChars="500"/>
        <w:textAlignment w:val="auto"/>
        <w:rPr>
          <w:rFonts w:hint="default"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4.交通运输保通保畅工作专班人员联系方式</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Times New Roman" w:hAnsi="Times New Roman" w:eastAsia="方正仿宋_GBK" w:cs="方正仿宋_GBK"/>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Times New Roman" w:hAnsi="Times New Roman" w:eastAsia="方正仿宋_GBK" w:cs="方正仿宋_GBK"/>
          <w:sz w:val="32"/>
          <w:szCs w:val="32"/>
          <w:lang w:val="en-US" w:eastAsia="zh-CN"/>
        </w:rPr>
        <w:sectPr>
          <w:footerReference r:id="rId3" w:type="default"/>
          <w:pgSz w:w="11906" w:h="16838"/>
          <w:pgMar w:top="1984" w:right="1446" w:bottom="1644" w:left="1446" w:header="851" w:footer="992" w:gutter="0"/>
          <w:pgNumType w:fmt="decimal"/>
          <w:cols w:space="425" w:num="1"/>
          <w:docGrid w:type="lines" w:linePitch="312" w:charSpace="0"/>
        </w:sectPr>
      </w:pPr>
    </w:p>
    <w:p>
      <w:pPr>
        <w:jc w:val="left"/>
        <w:rPr>
          <w:rFonts w:hint="default" w:ascii="方正小标宋_GBK" w:hAnsi="方正小标宋_GBK" w:eastAsia="方正小标宋_GBK" w:cs="方正小标宋_GBK"/>
          <w:sz w:val="44"/>
          <w:szCs w:val="44"/>
          <w:lang w:val="en-US" w:eastAsia="zh-CN"/>
        </w:rPr>
      </w:pPr>
      <w:r>
        <w:rPr>
          <w:rFonts w:hint="eastAsia" w:ascii="方正黑体_GBK" w:hAnsi="方正黑体_GBK" w:eastAsia="方正黑体_GBK" w:cs="方正黑体_GBK"/>
          <w:sz w:val="32"/>
          <w:szCs w:val="32"/>
          <w:lang w:eastAsia="zh-CN"/>
        </w:rPr>
        <w:t>附件</w:t>
      </w:r>
      <w:r>
        <w:rPr>
          <w:rFonts w:hint="eastAsia" w:ascii="方正黑体_GBK" w:hAnsi="方正黑体_GBK" w:eastAsia="方正黑体_GBK" w:cs="方正黑体_GBK"/>
          <w:sz w:val="32"/>
          <w:szCs w:val="32"/>
          <w:lang w:val="en-US" w:eastAsia="zh-CN"/>
        </w:rPr>
        <w:t>1：</w:t>
      </w:r>
    </w:p>
    <w:p>
      <w:pPr>
        <w:jc w:val="center"/>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新冠肺炎疫情防控来长返长货车及司乘人员高效通行申报表</w:t>
      </w:r>
    </w:p>
    <w:p>
      <w:pPr>
        <w:ind w:firstLine="320" w:firstLineChars="100"/>
        <w:jc w:val="left"/>
        <w:rPr>
          <w:rFonts w:hint="default"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 xml:space="preserve">申报企业：             联系人：             联系电话：             填报时间：       </w:t>
      </w:r>
    </w:p>
    <w:tbl>
      <w:tblPr>
        <w:tblStyle w:val="4"/>
        <w:tblW w:w="1325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9"/>
        <w:gridCol w:w="933"/>
        <w:gridCol w:w="933"/>
        <w:gridCol w:w="730"/>
        <w:gridCol w:w="641"/>
        <w:gridCol w:w="795"/>
        <w:gridCol w:w="979"/>
        <w:gridCol w:w="910"/>
        <w:gridCol w:w="1113"/>
        <w:gridCol w:w="1175"/>
        <w:gridCol w:w="1169"/>
        <w:gridCol w:w="756"/>
        <w:gridCol w:w="775"/>
        <w:gridCol w:w="1112"/>
        <w:gridCol w:w="7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序号</w:t>
            </w: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车牌号</w:t>
            </w: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r>
              <w:rPr>
                <w:rFonts w:hint="eastAsia" w:ascii="方正仿宋_GBK" w:hAnsi="方正仿宋_GBK" w:eastAsia="方正仿宋_GBK" w:cs="方正仿宋_GBK"/>
                <w:sz w:val="24"/>
                <w:szCs w:val="24"/>
                <w:vertAlign w:val="baseline"/>
                <w:lang w:eastAsia="zh-CN"/>
              </w:rPr>
              <w:t>拟入长路口名称</w:t>
            </w:r>
          </w:p>
        </w:tc>
        <w:tc>
          <w:tcPr>
            <w:tcW w:w="73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default" w:ascii="方正仿宋_GBK" w:hAnsi="方正仿宋_GBK" w:eastAsia="方正仿宋_GBK" w:cs="方正仿宋_GBK"/>
                <w:sz w:val="24"/>
                <w:szCs w:val="24"/>
                <w:vertAlign w:val="baseline"/>
                <w:lang w:val="en-US" w:eastAsia="zh-CN"/>
              </w:rPr>
              <w:t>司</w:t>
            </w:r>
            <w:r>
              <w:rPr>
                <w:rFonts w:hint="eastAsia" w:ascii="方正仿宋_GBK" w:hAnsi="方正仿宋_GBK" w:eastAsia="方正仿宋_GBK" w:cs="方正仿宋_GBK"/>
                <w:sz w:val="24"/>
                <w:szCs w:val="24"/>
                <w:vertAlign w:val="baseline"/>
                <w:lang w:val="en-US" w:eastAsia="zh-CN"/>
              </w:rPr>
              <w:t>乘</w:t>
            </w:r>
            <w:r>
              <w:rPr>
                <w:rFonts w:hint="default" w:ascii="方正仿宋_GBK" w:hAnsi="方正仿宋_GBK" w:eastAsia="方正仿宋_GBK" w:cs="方正仿宋_GBK"/>
                <w:sz w:val="24"/>
                <w:szCs w:val="24"/>
                <w:vertAlign w:val="baseline"/>
                <w:lang w:val="en-US" w:eastAsia="zh-CN"/>
              </w:rPr>
              <w:t>人</w:t>
            </w:r>
            <w:r>
              <w:rPr>
                <w:rFonts w:hint="eastAsia" w:ascii="方正仿宋_GBK" w:hAnsi="方正仿宋_GBK" w:eastAsia="方正仿宋_GBK" w:cs="方正仿宋_GBK"/>
                <w:sz w:val="24"/>
                <w:szCs w:val="24"/>
                <w:vertAlign w:val="baseline"/>
                <w:lang w:val="en-US" w:eastAsia="zh-CN"/>
              </w:rPr>
              <w:t>员</w:t>
            </w:r>
            <w:r>
              <w:rPr>
                <w:rFonts w:hint="eastAsia" w:ascii="方正仿宋_GBK" w:hAnsi="方正仿宋_GBK" w:eastAsia="方正仿宋_GBK" w:cs="方正仿宋_GBK"/>
                <w:sz w:val="24"/>
                <w:szCs w:val="24"/>
                <w:vertAlign w:val="baseline"/>
                <w:lang w:eastAsia="zh-CN"/>
              </w:rPr>
              <w:t>姓名</w:t>
            </w:r>
          </w:p>
        </w:tc>
        <w:tc>
          <w:tcPr>
            <w:tcW w:w="641"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身份证号码</w:t>
            </w:r>
          </w:p>
        </w:tc>
        <w:tc>
          <w:tcPr>
            <w:tcW w:w="79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手机号</w:t>
            </w:r>
            <w:r>
              <w:rPr>
                <w:rFonts w:hint="default" w:ascii="方正仿宋_GBK" w:hAnsi="方正仿宋_GBK" w:eastAsia="方正仿宋_GBK" w:cs="方正仿宋_GBK"/>
                <w:sz w:val="24"/>
                <w:szCs w:val="24"/>
                <w:vertAlign w:val="baseline"/>
                <w:lang w:val="en-US" w:eastAsia="zh-CN"/>
              </w:rPr>
              <w:t>码</w:t>
            </w:r>
          </w:p>
        </w:tc>
        <w:tc>
          <w:tcPr>
            <w:tcW w:w="97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始发地（具体到街道）</w:t>
            </w:r>
          </w:p>
        </w:tc>
        <w:tc>
          <w:tcPr>
            <w:tcW w:w="91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目的地</w:t>
            </w:r>
          </w:p>
        </w:tc>
        <w:tc>
          <w:tcPr>
            <w:tcW w:w="111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 xml:space="preserve"> 48 小时核酸检测</w:t>
            </w:r>
            <w:r>
              <w:rPr>
                <w:rFonts w:hint="default" w:ascii="方正仿宋_GBK" w:hAnsi="方正仿宋_GBK" w:eastAsia="方正仿宋_GBK" w:cs="方正仿宋_GBK"/>
                <w:sz w:val="24"/>
                <w:szCs w:val="24"/>
                <w:vertAlign w:val="baseline"/>
                <w:lang w:val="en-US" w:eastAsia="zh-CN"/>
              </w:rPr>
              <w:t>阴</w:t>
            </w:r>
            <w:r>
              <w:rPr>
                <w:rFonts w:hint="eastAsia" w:ascii="方正仿宋_GBK" w:hAnsi="方正仿宋_GBK" w:eastAsia="方正仿宋_GBK" w:cs="方正仿宋_GBK"/>
                <w:sz w:val="24"/>
                <w:szCs w:val="24"/>
                <w:vertAlign w:val="baseline"/>
                <w:lang w:val="en-US" w:eastAsia="zh-CN"/>
              </w:rPr>
              <w:t>性</w:t>
            </w:r>
            <w:r>
              <w:rPr>
                <w:rFonts w:hint="eastAsia" w:ascii="方正仿宋_GBK" w:hAnsi="方正仿宋_GBK" w:eastAsia="方正仿宋_GBK" w:cs="方正仿宋_GBK"/>
                <w:sz w:val="24"/>
                <w:szCs w:val="24"/>
                <w:vertAlign w:val="baseline"/>
                <w:lang w:eastAsia="zh-CN"/>
              </w:rPr>
              <w:t>证明</w:t>
            </w:r>
          </w:p>
        </w:tc>
        <w:tc>
          <w:tcPr>
            <w:tcW w:w="11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行程码</w:t>
            </w:r>
            <w:r>
              <w:rPr>
                <w:rFonts w:hint="default" w:ascii="方正仿宋_GBK" w:hAnsi="方正仿宋_GBK" w:eastAsia="方正仿宋_GBK" w:cs="方正仿宋_GBK"/>
                <w:sz w:val="24"/>
                <w:szCs w:val="24"/>
                <w:vertAlign w:val="baseline"/>
                <w:lang w:val="en-US" w:eastAsia="zh-CN"/>
              </w:rPr>
              <w:t>〈</w:t>
            </w:r>
            <w:r>
              <w:rPr>
                <w:rFonts w:hint="eastAsia" w:ascii="方正仿宋_GBK" w:hAnsi="方正仿宋_GBK" w:eastAsia="方正仿宋_GBK" w:cs="方正仿宋_GBK"/>
                <w:sz w:val="24"/>
                <w:szCs w:val="24"/>
                <w:vertAlign w:val="baseline"/>
                <w:lang w:eastAsia="zh-CN"/>
              </w:rPr>
              <w:t>绿码）</w:t>
            </w:r>
          </w:p>
        </w:tc>
        <w:tc>
          <w:tcPr>
            <w:tcW w:w="11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健康</w:t>
            </w:r>
            <w:r>
              <w:rPr>
                <w:rFonts w:hint="default" w:ascii="方正仿宋_GBK" w:hAnsi="方正仿宋_GBK" w:eastAsia="方正仿宋_GBK" w:cs="方正仿宋_GBK"/>
                <w:sz w:val="24"/>
                <w:szCs w:val="24"/>
                <w:vertAlign w:val="baseline"/>
                <w:lang w:val="en-US" w:eastAsia="zh-CN"/>
              </w:rPr>
              <w:t>码</w:t>
            </w:r>
            <w:r>
              <w:rPr>
                <w:rFonts w:hint="eastAsia" w:ascii="方正仿宋_GBK" w:hAnsi="方正仿宋_GBK" w:eastAsia="方正仿宋_GBK" w:cs="方正仿宋_GBK"/>
                <w:sz w:val="24"/>
                <w:szCs w:val="24"/>
                <w:vertAlign w:val="baseline"/>
                <w:lang w:val="en-US" w:eastAsia="zh-CN"/>
              </w:rPr>
              <w:t>（</w:t>
            </w:r>
            <w:r>
              <w:rPr>
                <w:rFonts w:hint="eastAsia" w:ascii="方正仿宋_GBK" w:hAnsi="方正仿宋_GBK" w:eastAsia="方正仿宋_GBK" w:cs="方正仿宋_GBK"/>
                <w:sz w:val="24"/>
                <w:szCs w:val="24"/>
                <w:vertAlign w:val="baseline"/>
                <w:lang w:eastAsia="zh-CN"/>
              </w:rPr>
              <w:t>绿码）</w:t>
            </w:r>
          </w:p>
        </w:tc>
        <w:tc>
          <w:tcPr>
            <w:tcW w:w="756"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抵长</w:t>
            </w:r>
            <w:r>
              <w:rPr>
                <w:rFonts w:hint="default" w:ascii="方正仿宋_GBK" w:hAnsi="方正仿宋_GBK" w:eastAsia="方正仿宋_GBK" w:cs="方正仿宋_GBK"/>
                <w:sz w:val="24"/>
                <w:szCs w:val="24"/>
                <w:vertAlign w:val="baseline"/>
                <w:lang w:val="en-US" w:eastAsia="zh-CN"/>
              </w:rPr>
              <w:t>日</w:t>
            </w:r>
            <w:r>
              <w:rPr>
                <w:rFonts w:hint="eastAsia" w:ascii="方正仿宋_GBK" w:hAnsi="方正仿宋_GBK" w:eastAsia="方正仿宋_GBK" w:cs="方正仿宋_GBK"/>
                <w:sz w:val="24"/>
                <w:szCs w:val="24"/>
                <w:vertAlign w:val="baseline"/>
                <w:lang w:val="en-US" w:eastAsia="zh-CN"/>
              </w:rPr>
              <w:t>期</w:t>
            </w:r>
          </w:p>
        </w:tc>
        <w:tc>
          <w:tcPr>
            <w:tcW w:w="7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离长</w:t>
            </w:r>
            <w:r>
              <w:rPr>
                <w:rFonts w:hint="default" w:ascii="方正仿宋_GBK" w:hAnsi="方正仿宋_GBK" w:eastAsia="方正仿宋_GBK" w:cs="方正仿宋_GBK"/>
                <w:sz w:val="24"/>
                <w:szCs w:val="24"/>
                <w:vertAlign w:val="baseline"/>
                <w:lang w:val="en-US" w:eastAsia="zh-CN"/>
              </w:rPr>
              <w:t>日</w:t>
            </w:r>
            <w:r>
              <w:rPr>
                <w:rFonts w:hint="eastAsia" w:ascii="方正仿宋_GBK" w:hAnsi="方正仿宋_GBK" w:eastAsia="方正仿宋_GBK" w:cs="方正仿宋_GBK"/>
                <w:sz w:val="24"/>
                <w:szCs w:val="24"/>
                <w:vertAlign w:val="baseline"/>
                <w:lang w:val="en-US" w:eastAsia="zh-CN"/>
              </w:rPr>
              <w:t>期</w:t>
            </w:r>
          </w:p>
        </w:tc>
        <w:tc>
          <w:tcPr>
            <w:tcW w:w="1112"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拟在长时间（是否过夜）</w:t>
            </w:r>
          </w:p>
        </w:tc>
        <w:tc>
          <w:tcPr>
            <w:tcW w:w="76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73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641"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9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7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1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56"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2"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6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73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641"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9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7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1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56"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2"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6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73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641"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9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7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1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56"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2"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6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73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641"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9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7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1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56"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2"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6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73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641"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9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7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1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56"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2"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6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73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641"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9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7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1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56"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2"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6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73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641"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9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7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1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56"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2"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6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73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641"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9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7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1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56"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2"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6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93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73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641"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9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7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10"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69"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56"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75"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2"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763" w:type="dxa"/>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r>
    </w:tbl>
    <w:p>
      <w:pPr>
        <w:jc w:val="both"/>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 xml:space="preserve">                                                       </w:t>
      </w:r>
    </w:p>
    <w:p>
      <w:pPr>
        <w:jc w:val="both"/>
        <w:rPr>
          <w:rFonts w:hint="eastAsia" w:ascii="方正楷体_GBK" w:hAnsi="方正楷体_GBK" w:eastAsia="方正楷体_GBK" w:cs="方正楷体_GBK"/>
          <w:sz w:val="32"/>
          <w:szCs w:val="32"/>
          <w:lang w:val="en-US" w:eastAsia="zh-CN"/>
        </w:rPr>
      </w:pPr>
    </w:p>
    <w:p>
      <w:pPr>
        <w:jc w:val="both"/>
        <w:rPr>
          <w:rFonts w:hint="eastAsia" w:ascii="方正楷体_GBK" w:hAnsi="方正楷体_GBK" w:eastAsia="方正楷体_GBK" w:cs="方正楷体_GBK"/>
          <w:sz w:val="32"/>
          <w:szCs w:val="32"/>
          <w:lang w:val="en-US" w:eastAsia="zh-CN"/>
        </w:rPr>
      </w:pPr>
    </w:p>
    <w:p>
      <w:pPr>
        <w:jc w:val="both"/>
        <w:rPr>
          <w:rFonts w:hint="eastAsia" w:ascii="方正楷体_GBK" w:hAnsi="方正楷体_GBK" w:eastAsia="方正楷体_GBK" w:cs="方正楷体_GBK"/>
          <w:sz w:val="32"/>
          <w:szCs w:val="32"/>
          <w:lang w:val="en-US" w:eastAsia="zh-CN"/>
        </w:rPr>
      </w:pPr>
    </w:p>
    <w:p>
      <w:pPr>
        <w:jc w:val="left"/>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eastAsia="zh-CN"/>
        </w:rPr>
        <w:t>附件</w:t>
      </w:r>
      <w:r>
        <w:rPr>
          <w:rFonts w:hint="eastAsia" w:ascii="方正黑体_GBK" w:hAnsi="方正黑体_GBK" w:eastAsia="方正黑体_GBK" w:cs="方正黑体_GBK"/>
          <w:sz w:val="32"/>
          <w:szCs w:val="32"/>
          <w:lang w:val="en-US" w:eastAsia="zh-CN"/>
        </w:rPr>
        <w:t>2：</w:t>
      </w:r>
    </w:p>
    <w:p>
      <w:pPr>
        <w:jc w:val="center"/>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货车及司乘人员离长销号表</w:t>
      </w:r>
    </w:p>
    <w:p>
      <w:pPr>
        <w:jc w:val="both"/>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填报企业：           联系人：             联系电话：           填报时间：</w:t>
      </w:r>
    </w:p>
    <w:tbl>
      <w:tblPr>
        <w:tblStyle w:val="4"/>
        <w:tblW w:w="1299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7"/>
        <w:gridCol w:w="1347"/>
        <w:gridCol w:w="1054"/>
        <w:gridCol w:w="925"/>
        <w:gridCol w:w="1147"/>
        <w:gridCol w:w="1091"/>
        <w:gridCol w:w="1119"/>
        <w:gridCol w:w="1605"/>
        <w:gridCol w:w="1605"/>
        <w:gridCol w:w="24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4" w:hRule="atLeast"/>
        </w:trPr>
        <w:tc>
          <w:tcPr>
            <w:tcW w:w="67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序号</w:t>
            </w:r>
          </w:p>
        </w:tc>
        <w:tc>
          <w:tcPr>
            <w:tcW w:w="134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车牌号</w:t>
            </w:r>
          </w:p>
        </w:tc>
        <w:tc>
          <w:tcPr>
            <w:tcW w:w="1054"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default" w:ascii="方正仿宋_GBK" w:hAnsi="方正仿宋_GBK" w:eastAsia="方正仿宋_GBK" w:cs="方正仿宋_GBK"/>
                <w:sz w:val="24"/>
                <w:szCs w:val="24"/>
                <w:vertAlign w:val="baseline"/>
                <w:lang w:val="en-US" w:eastAsia="zh-CN"/>
              </w:rPr>
              <w:t>司</w:t>
            </w:r>
            <w:r>
              <w:rPr>
                <w:rFonts w:hint="eastAsia" w:ascii="方正仿宋_GBK" w:hAnsi="方正仿宋_GBK" w:eastAsia="方正仿宋_GBK" w:cs="方正仿宋_GBK"/>
                <w:sz w:val="24"/>
                <w:szCs w:val="24"/>
                <w:vertAlign w:val="baseline"/>
                <w:lang w:val="en-US" w:eastAsia="zh-CN"/>
              </w:rPr>
              <w:t>乘</w:t>
            </w:r>
            <w:r>
              <w:rPr>
                <w:rFonts w:hint="default" w:ascii="方正仿宋_GBK" w:hAnsi="方正仿宋_GBK" w:eastAsia="方正仿宋_GBK" w:cs="方正仿宋_GBK"/>
                <w:sz w:val="24"/>
                <w:szCs w:val="24"/>
                <w:vertAlign w:val="baseline"/>
                <w:lang w:val="en-US" w:eastAsia="zh-CN"/>
              </w:rPr>
              <w:t>人</w:t>
            </w:r>
            <w:r>
              <w:rPr>
                <w:rFonts w:hint="eastAsia" w:ascii="方正仿宋_GBK" w:hAnsi="方正仿宋_GBK" w:eastAsia="方正仿宋_GBK" w:cs="方正仿宋_GBK"/>
                <w:sz w:val="24"/>
                <w:szCs w:val="24"/>
                <w:vertAlign w:val="baseline"/>
                <w:lang w:val="en-US" w:eastAsia="zh-CN"/>
              </w:rPr>
              <w:t>员</w:t>
            </w:r>
            <w:r>
              <w:rPr>
                <w:rFonts w:hint="eastAsia" w:ascii="方正仿宋_GBK" w:hAnsi="方正仿宋_GBK" w:eastAsia="方正仿宋_GBK" w:cs="方正仿宋_GBK"/>
                <w:sz w:val="24"/>
                <w:szCs w:val="24"/>
                <w:vertAlign w:val="baseline"/>
                <w:lang w:eastAsia="zh-CN"/>
              </w:rPr>
              <w:t>姓名</w:t>
            </w:r>
          </w:p>
        </w:tc>
        <w:tc>
          <w:tcPr>
            <w:tcW w:w="92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身份证号码</w:t>
            </w:r>
          </w:p>
        </w:tc>
        <w:tc>
          <w:tcPr>
            <w:tcW w:w="114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手机号</w:t>
            </w:r>
            <w:r>
              <w:rPr>
                <w:rFonts w:hint="default" w:ascii="方正仿宋_GBK" w:hAnsi="方正仿宋_GBK" w:eastAsia="方正仿宋_GBK" w:cs="方正仿宋_GBK"/>
                <w:sz w:val="24"/>
                <w:szCs w:val="24"/>
                <w:vertAlign w:val="baseline"/>
                <w:lang w:val="en-US" w:eastAsia="zh-CN"/>
              </w:rPr>
              <w:t>码</w:t>
            </w:r>
          </w:p>
        </w:tc>
        <w:tc>
          <w:tcPr>
            <w:tcW w:w="1091"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抵长</w:t>
            </w:r>
            <w:r>
              <w:rPr>
                <w:rFonts w:hint="default" w:ascii="方正仿宋_GBK" w:hAnsi="方正仿宋_GBK" w:eastAsia="方正仿宋_GBK" w:cs="方正仿宋_GBK"/>
                <w:sz w:val="24"/>
                <w:szCs w:val="24"/>
                <w:vertAlign w:val="baseline"/>
                <w:lang w:val="en-US" w:eastAsia="zh-CN"/>
              </w:rPr>
              <w:t>日</w:t>
            </w:r>
            <w:r>
              <w:rPr>
                <w:rFonts w:hint="eastAsia" w:ascii="方正仿宋_GBK" w:hAnsi="方正仿宋_GBK" w:eastAsia="方正仿宋_GBK" w:cs="方正仿宋_GBK"/>
                <w:sz w:val="24"/>
                <w:szCs w:val="24"/>
                <w:vertAlign w:val="baseline"/>
                <w:lang w:val="en-US" w:eastAsia="zh-CN"/>
              </w:rPr>
              <w:t>期</w:t>
            </w:r>
          </w:p>
        </w:tc>
        <w:tc>
          <w:tcPr>
            <w:tcW w:w="1119"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离长</w:t>
            </w:r>
            <w:r>
              <w:rPr>
                <w:rFonts w:hint="default" w:ascii="方正仿宋_GBK" w:hAnsi="方正仿宋_GBK" w:eastAsia="方正仿宋_GBK" w:cs="方正仿宋_GBK"/>
                <w:sz w:val="24"/>
                <w:szCs w:val="24"/>
                <w:vertAlign w:val="baseline"/>
                <w:lang w:val="en-US" w:eastAsia="zh-CN"/>
              </w:rPr>
              <w:t>日</w:t>
            </w:r>
            <w:r>
              <w:rPr>
                <w:rFonts w:hint="eastAsia" w:ascii="方正仿宋_GBK" w:hAnsi="方正仿宋_GBK" w:eastAsia="方正仿宋_GBK" w:cs="方正仿宋_GBK"/>
                <w:sz w:val="24"/>
                <w:szCs w:val="24"/>
                <w:vertAlign w:val="baseline"/>
                <w:lang w:val="en-US" w:eastAsia="zh-CN"/>
              </w:rPr>
              <w:t>期</w:t>
            </w:r>
          </w:p>
        </w:tc>
        <w:tc>
          <w:tcPr>
            <w:tcW w:w="160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离长路口</w:t>
            </w:r>
          </w:p>
        </w:tc>
        <w:tc>
          <w:tcPr>
            <w:tcW w:w="160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是否在长过夜</w:t>
            </w:r>
          </w:p>
        </w:tc>
        <w:tc>
          <w:tcPr>
            <w:tcW w:w="2422"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r>
              <w:rPr>
                <w:rFonts w:hint="eastAsia" w:ascii="方正仿宋_GBK" w:hAnsi="方正仿宋_GBK" w:eastAsia="方正仿宋_GBK" w:cs="方正仿宋_GBK"/>
                <w:sz w:val="24"/>
                <w:szCs w:val="24"/>
                <w:vertAlign w:val="baseline"/>
                <w:lang w:eastAsia="zh-CN"/>
              </w:rPr>
              <w:t>闭环管理措施落实情况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trPr>
        <w:tc>
          <w:tcPr>
            <w:tcW w:w="67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34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1054"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2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4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091"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9"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60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60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2422"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trPr>
        <w:tc>
          <w:tcPr>
            <w:tcW w:w="67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34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1054"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2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4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091"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9"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60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60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2422"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trPr>
        <w:tc>
          <w:tcPr>
            <w:tcW w:w="67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34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1054"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2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4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091"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9"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60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60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2422"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trPr>
        <w:tc>
          <w:tcPr>
            <w:tcW w:w="67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34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1054"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2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4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091"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9"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60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60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2422"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trPr>
        <w:tc>
          <w:tcPr>
            <w:tcW w:w="67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34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1054"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2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4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091"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9"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60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60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2422"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trPr>
        <w:tc>
          <w:tcPr>
            <w:tcW w:w="67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34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1054"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2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4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091"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9"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60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60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2422"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trPr>
        <w:tc>
          <w:tcPr>
            <w:tcW w:w="67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34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kern w:val="2"/>
                <w:sz w:val="24"/>
                <w:szCs w:val="24"/>
                <w:vertAlign w:val="baseline"/>
                <w:lang w:val="en-US" w:eastAsia="zh-CN" w:bidi="ar-SA"/>
              </w:rPr>
            </w:pPr>
          </w:p>
        </w:tc>
        <w:tc>
          <w:tcPr>
            <w:tcW w:w="1054"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92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47"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091"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119"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60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1605"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c>
          <w:tcPr>
            <w:tcW w:w="2422" w:type="dxa"/>
            <w:vAlign w:val="top"/>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hint="eastAsia" w:ascii="方正仿宋_GBK" w:hAnsi="方正仿宋_GBK" w:eastAsia="方正仿宋_GBK" w:cs="方正仿宋_GBK"/>
                <w:sz w:val="24"/>
                <w:szCs w:val="24"/>
                <w:vertAlign w:val="baseline"/>
                <w:lang w:eastAsia="zh-CN"/>
              </w:rPr>
            </w:pPr>
          </w:p>
        </w:tc>
      </w:tr>
    </w:tbl>
    <w:p>
      <w:pPr>
        <w:jc w:val="both"/>
        <w:rPr>
          <w:rFonts w:hint="eastAsia" w:ascii="Times New Roman" w:hAnsi="Times New Roman" w:eastAsia="方正仿宋_GBK" w:cs="方正仿宋_GBK"/>
          <w:sz w:val="32"/>
          <w:szCs w:val="32"/>
          <w:lang w:val="en-US" w:eastAsia="zh-CN"/>
        </w:rPr>
      </w:pPr>
    </w:p>
    <w:p>
      <w:pPr>
        <w:jc w:val="left"/>
        <w:rPr>
          <w:rFonts w:hint="eastAsia" w:ascii="Times New Roman" w:hAnsi="Times New Roman"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附件3</w:t>
      </w:r>
    </w:p>
    <w:p>
      <w:pPr>
        <w:jc w:val="center"/>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交通核酸检测服务点点长联系方式</w:t>
      </w:r>
    </w:p>
    <w:tbl>
      <w:tblPr>
        <w:tblStyle w:val="3"/>
        <w:tblW w:w="1305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505"/>
        <w:gridCol w:w="3568"/>
        <w:gridCol w:w="3872"/>
        <w:gridCol w:w="41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50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序号</w:t>
            </w:r>
          </w:p>
        </w:tc>
        <w:tc>
          <w:tcPr>
            <w:tcW w:w="356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高速公路下道口名称</w:t>
            </w:r>
          </w:p>
        </w:tc>
        <w:tc>
          <w:tcPr>
            <w:tcW w:w="38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点长</w:t>
            </w:r>
          </w:p>
        </w:tc>
        <w:tc>
          <w:tcPr>
            <w:tcW w:w="41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副点长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50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方正仿宋_GBK" w:hAnsi="方正仿宋_GBK" w:eastAsia="方正仿宋_GBK" w:cs="方正仿宋_GBK"/>
                <w:i w:val="0"/>
                <w:color w:val="000000"/>
                <w:sz w:val="24"/>
                <w:szCs w:val="24"/>
                <w:u w:val="none"/>
              </w:rPr>
            </w:pPr>
          </w:p>
        </w:tc>
        <w:tc>
          <w:tcPr>
            <w:tcW w:w="35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方正仿宋_GBK" w:hAnsi="方正仿宋_GBK" w:eastAsia="方正仿宋_GBK" w:cs="方正仿宋_GBK"/>
                <w:i w:val="0"/>
                <w:color w:val="000000"/>
                <w:sz w:val="24"/>
                <w:szCs w:val="24"/>
                <w:u w:val="none"/>
              </w:rPr>
            </w:pPr>
          </w:p>
        </w:tc>
        <w:tc>
          <w:tcPr>
            <w:tcW w:w="3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方正仿宋_GBK" w:hAnsi="方正仿宋_GBK" w:eastAsia="方正仿宋_GBK" w:cs="方正仿宋_GBK"/>
                <w:i w:val="0"/>
                <w:color w:val="000000"/>
                <w:sz w:val="24"/>
                <w:szCs w:val="24"/>
                <w:u w:val="none"/>
              </w:rPr>
            </w:pPr>
          </w:p>
        </w:tc>
        <w:tc>
          <w:tcPr>
            <w:tcW w:w="41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方正仿宋_GBK" w:hAnsi="方正仿宋_GBK" w:eastAsia="方正仿宋_GBK" w:cs="方正仿宋_GBK"/>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1</w:t>
            </w:r>
          </w:p>
        </w:tc>
        <w:tc>
          <w:tcPr>
            <w:tcW w:w="35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长寿湖（双龙）</w:t>
            </w:r>
          </w:p>
        </w:tc>
        <w:tc>
          <w:tcPr>
            <w:tcW w:w="38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杨斌13635435056</w:t>
            </w:r>
          </w:p>
        </w:tc>
        <w:tc>
          <w:tcPr>
            <w:tcW w:w="41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陈明18996487857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方正仿宋_GBK" w:hAnsi="方正仿宋_GBK" w:eastAsia="方正仿宋_GBK" w:cs="方正仿宋_GBK"/>
                <w:i w:val="0"/>
                <w:color w:val="000000"/>
                <w:sz w:val="24"/>
                <w:szCs w:val="24"/>
                <w:u w:val="none"/>
              </w:rPr>
            </w:pPr>
          </w:p>
        </w:tc>
        <w:tc>
          <w:tcPr>
            <w:tcW w:w="35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方正仿宋_GBK" w:hAnsi="方正仿宋_GBK" w:eastAsia="方正仿宋_GBK" w:cs="方正仿宋_GBK"/>
                <w:i w:val="0"/>
                <w:color w:val="000000"/>
                <w:sz w:val="24"/>
                <w:szCs w:val="24"/>
                <w:u w:val="none"/>
              </w:rPr>
            </w:pPr>
          </w:p>
        </w:tc>
        <w:tc>
          <w:tcPr>
            <w:tcW w:w="3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方正仿宋_GBK" w:hAnsi="方正仿宋_GBK" w:eastAsia="方正仿宋_GBK" w:cs="方正仿宋_GBK"/>
                <w:i w:val="0"/>
                <w:color w:val="000000"/>
                <w:sz w:val="24"/>
                <w:szCs w:val="24"/>
                <w:u w:val="none"/>
              </w:rPr>
            </w:pPr>
          </w:p>
        </w:tc>
        <w:tc>
          <w:tcPr>
            <w:tcW w:w="41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潘媛媛18996487696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2</w:t>
            </w:r>
          </w:p>
        </w:tc>
        <w:tc>
          <w:tcPr>
            <w:tcW w:w="35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但渡长寿下道口</w:t>
            </w:r>
          </w:p>
        </w:tc>
        <w:tc>
          <w:tcPr>
            <w:tcW w:w="3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陈霄（双点长）13883973473</w:t>
            </w:r>
          </w:p>
        </w:tc>
        <w:tc>
          <w:tcPr>
            <w:tcW w:w="411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彭渝13452052200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3</w:t>
            </w:r>
          </w:p>
        </w:tc>
        <w:tc>
          <w:tcPr>
            <w:tcW w:w="35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但渡涪陵下道口</w:t>
            </w:r>
          </w:p>
        </w:tc>
        <w:tc>
          <w:tcPr>
            <w:tcW w:w="3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夏阳（双点长）15023061333</w:t>
            </w:r>
          </w:p>
        </w:tc>
        <w:tc>
          <w:tcPr>
            <w:tcW w:w="41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方正仿宋_GBK" w:hAnsi="方正仿宋_GBK" w:eastAsia="方正仿宋_GBK" w:cs="方正仿宋_GBK"/>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4</w:t>
            </w:r>
          </w:p>
        </w:tc>
        <w:tc>
          <w:tcPr>
            <w:tcW w:w="35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古佛（凤城）</w:t>
            </w:r>
          </w:p>
        </w:tc>
        <w:tc>
          <w:tcPr>
            <w:tcW w:w="3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洪啸15826114929</w:t>
            </w:r>
          </w:p>
        </w:tc>
        <w:tc>
          <w:tcPr>
            <w:tcW w:w="41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高世明13983954702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5</w:t>
            </w:r>
          </w:p>
        </w:tc>
        <w:tc>
          <w:tcPr>
            <w:tcW w:w="35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云台</w:t>
            </w:r>
          </w:p>
        </w:tc>
        <w:tc>
          <w:tcPr>
            <w:tcW w:w="3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郑延龄13508302425</w:t>
            </w:r>
          </w:p>
        </w:tc>
        <w:tc>
          <w:tcPr>
            <w:tcW w:w="41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张警18725855673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6</w:t>
            </w:r>
          </w:p>
        </w:tc>
        <w:tc>
          <w:tcPr>
            <w:tcW w:w="35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八颗</w:t>
            </w:r>
          </w:p>
        </w:tc>
        <w:tc>
          <w:tcPr>
            <w:tcW w:w="3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袁健13330219028</w:t>
            </w:r>
          </w:p>
        </w:tc>
        <w:tc>
          <w:tcPr>
            <w:tcW w:w="41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张成文15223165052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7</w:t>
            </w:r>
          </w:p>
        </w:tc>
        <w:tc>
          <w:tcPr>
            <w:tcW w:w="35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石堰</w:t>
            </w:r>
          </w:p>
        </w:tc>
        <w:tc>
          <w:tcPr>
            <w:tcW w:w="3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瞿小红13883118566</w:t>
            </w:r>
          </w:p>
        </w:tc>
        <w:tc>
          <w:tcPr>
            <w:tcW w:w="41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项聪1899615756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8</w:t>
            </w:r>
          </w:p>
        </w:tc>
        <w:tc>
          <w:tcPr>
            <w:tcW w:w="35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龙河合兴</w:t>
            </w:r>
          </w:p>
        </w:tc>
        <w:tc>
          <w:tcPr>
            <w:tcW w:w="3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栾亨攀13452132325</w:t>
            </w:r>
          </w:p>
        </w:tc>
        <w:tc>
          <w:tcPr>
            <w:tcW w:w="41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徐小林18723255556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9</w:t>
            </w:r>
          </w:p>
        </w:tc>
        <w:tc>
          <w:tcPr>
            <w:tcW w:w="35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桃花涪陵下道口（菩提）</w:t>
            </w:r>
          </w:p>
        </w:tc>
        <w:tc>
          <w:tcPr>
            <w:tcW w:w="38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韩静15823130588</w:t>
            </w:r>
          </w:p>
        </w:tc>
        <w:tc>
          <w:tcPr>
            <w:tcW w:w="41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戴伟13637876881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10</w:t>
            </w:r>
          </w:p>
        </w:tc>
        <w:tc>
          <w:tcPr>
            <w:tcW w:w="35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桃花万州下道口（菩提）</w:t>
            </w:r>
          </w:p>
        </w:tc>
        <w:tc>
          <w:tcPr>
            <w:tcW w:w="3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方正仿宋_GBK" w:hAnsi="方正仿宋_GBK" w:eastAsia="方正仿宋_GBK" w:cs="方正仿宋_GBK"/>
                <w:i w:val="0"/>
                <w:color w:val="000000"/>
                <w:sz w:val="24"/>
                <w:szCs w:val="24"/>
                <w:u w:val="none"/>
              </w:rPr>
            </w:pPr>
          </w:p>
        </w:tc>
        <w:tc>
          <w:tcPr>
            <w:tcW w:w="41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李夏19923673733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11</w:t>
            </w:r>
          </w:p>
        </w:tc>
        <w:tc>
          <w:tcPr>
            <w:tcW w:w="35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桃花重庆下道口（菩提）</w:t>
            </w:r>
          </w:p>
        </w:tc>
        <w:tc>
          <w:tcPr>
            <w:tcW w:w="3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方正仿宋_GBK" w:hAnsi="方正仿宋_GBK" w:eastAsia="方正仿宋_GBK" w:cs="方正仿宋_GBK"/>
                <w:i w:val="0"/>
                <w:color w:val="000000"/>
                <w:sz w:val="24"/>
                <w:szCs w:val="24"/>
                <w:u w:val="none"/>
              </w:rPr>
            </w:pPr>
          </w:p>
        </w:tc>
        <w:tc>
          <w:tcPr>
            <w:tcW w:w="41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袁列举18875266997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12</w:t>
            </w:r>
          </w:p>
        </w:tc>
        <w:tc>
          <w:tcPr>
            <w:tcW w:w="35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长寿北（新市）</w:t>
            </w:r>
          </w:p>
        </w:tc>
        <w:tc>
          <w:tcPr>
            <w:tcW w:w="3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刘星星15923103297</w:t>
            </w:r>
          </w:p>
        </w:tc>
        <w:tc>
          <w:tcPr>
            <w:tcW w:w="411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陈立业13983973757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13</w:t>
            </w:r>
          </w:p>
        </w:tc>
        <w:tc>
          <w:tcPr>
            <w:tcW w:w="35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长寿西（晏家）</w:t>
            </w:r>
          </w:p>
        </w:tc>
        <w:tc>
          <w:tcPr>
            <w:tcW w:w="38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王斌15922754766</w:t>
            </w:r>
          </w:p>
        </w:tc>
        <w:tc>
          <w:tcPr>
            <w:tcW w:w="411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续文佳19112913486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14</w:t>
            </w:r>
          </w:p>
        </w:tc>
        <w:tc>
          <w:tcPr>
            <w:tcW w:w="35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rPr>
              <w:t>晏家</w:t>
            </w:r>
          </w:p>
        </w:tc>
        <w:tc>
          <w:tcPr>
            <w:tcW w:w="3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方正仿宋_GBK" w:hAnsi="方正仿宋_GBK" w:eastAsia="方正仿宋_GBK" w:cs="方正仿宋_GBK"/>
                <w:i w:val="0"/>
                <w:color w:val="000000"/>
                <w:sz w:val="24"/>
                <w:szCs w:val="24"/>
                <w:u w:val="none"/>
              </w:rPr>
            </w:pPr>
          </w:p>
        </w:tc>
        <w:tc>
          <w:tcPr>
            <w:tcW w:w="411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方正仿宋_GBK" w:hAnsi="方正仿宋_GBK" w:eastAsia="方正仿宋_GBK" w:cs="方正仿宋_GBK"/>
                <w:i w:val="0"/>
                <w:color w:val="000000"/>
                <w:sz w:val="24"/>
                <w:szCs w:val="24"/>
                <w:u w:val="none"/>
              </w:rPr>
            </w:pPr>
          </w:p>
        </w:tc>
      </w:tr>
    </w:tbl>
    <w:p>
      <w:pPr>
        <w:jc w:val="both"/>
        <w:rPr>
          <w:rFonts w:hint="default" w:ascii="Times New Roman" w:hAnsi="Times New Roman" w:eastAsia="方正仿宋_GBK" w:cs="方正仿宋_GBK"/>
          <w:sz w:val="32"/>
          <w:szCs w:val="32"/>
          <w:lang w:val="en-US" w:eastAsia="zh-CN"/>
        </w:rPr>
      </w:pPr>
    </w:p>
    <w:p>
      <w:pPr>
        <w:jc w:val="left"/>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附件4</w:t>
      </w:r>
    </w:p>
    <w:p>
      <w:pPr>
        <w:jc w:val="center"/>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交通运输保通保畅工作专班人员联系方式</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78"/>
        <w:gridCol w:w="2901"/>
        <w:gridCol w:w="4104"/>
        <w:gridCol w:w="38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1678"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序号</w:t>
            </w:r>
          </w:p>
        </w:tc>
        <w:tc>
          <w:tcPr>
            <w:tcW w:w="290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姓名</w:t>
            </w:r>
          </w:p>
        </w:tc>
        <w:tc>
          <w:tcPr>
            <w:tcW w:w="410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联系电话</w:t>
            </w:r>
          </w:p>
        </w:tc>
        <w:tc>
          <w:tcPr>
            <w:tcW w:w="38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1678"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eastAsia" w:ascii="Times New Roman" w:hAnsi="Times New Roman" w:eastAsia="方正仿宋_GBK" w:cs="Times New Roman"/>
                <w:sz w:val="28"/>
                <w:szCs w:val="28"/>
                <w:vertAlign w:val="baseline"/>
                <w:lang w:val="en-US" w:eastAsia="zh-CN"/>
              </w:rPr>
              <w:t>1</w:t>
            </w:r>
          </w:p>
        </w:tc>
        <w:tc>
          <w:tcPr>
            <w:tcW w:w="290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殷民</w:t>
            </w:r>
          </w:p>
        </w:tc>
        <w:tc>
          <w:tcPr>
            <w:tcW w:w="410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13609405296</w:t>
            </w:r>
          </w:p>
        </w:tc>
        <w:tc>
          <w:tcPr>
            <w:tcW w:w="38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统筹协调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1678"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eastAsia" w:ascii="Times New Roman" w:hAnsi="Times New Roman" w:eastAsia="方正仿宋_GBK" w:cs="Times New Roman"/>
                <w:sz w:val="28"/>
                <w:szCs w:val="28"/>
                <w:vertAlign w:val="baseline"/>
                <w:lang w:val="en-US" w:eastAsia="zh-CN"/>
              </w:rPr>
              <w:t>2</w:t>
            </w:r>
          </w:p>
        </w:tc>
        <w:tc>
          <w:tcPr>
            <w:tcW w:w="290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胡安志</w:t>
            </w:r>
          </w:p>
        </w:tc>
        <w:tc>
          <w:tcPr>
            <w:tcW w:w="410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13509476733</w:t>
            </w:r>
          </w:p>
        </w:tc>
        <w:tc>
          <w:tcPr>
            <w:tcW w:w="38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统筹协调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1678"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eastAsia" w:ascii="Times New Roman" w:hAnsi="Times New Roman" w:eastAsia="方正仿宋_GBK" w:cs="Times New Roman"/>
                <w:sz w:val="28"/>
                <w:szCs w:val="28"/>
                <w:vertAlign w:val="baseline"/>
                <w:lang w:val="en-US" w:eastAsia="zh-CN"/>
              </w:rPr>
              <w:t>3</w:t>
            </w:r>
          </w:p>
        </w:tc>
        <w:tc>
          <w:tcPr>
            <w:tcW w:w="290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李黎</w:t>
            </w:r>
          </w:p>
        </w:tc>
        <w:tc>
          <w:tcPr>
            <w:tcW w:w="410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13996009095</w:t>
            </w:r>
          </w:p>
        </w:tc>
        <w:tc>
          <w:tcPr>
            <w:tcW w:w="38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综合工作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1678"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eastAsia" w:ascii="Times New Roman" w:hAnsi="Times New Roman" w:eastAsia="方正仿宋_GBK" w:cs="Times New Roman"/>
                <w:sz w:val="28"/>
                <w:szCs w:val="28"/>
                <w:vertAlign w:val="baseline"/>
                <w:lang w:val="en-US" w:eastAsia="zh-CN"/>
              </w:rPr>
              <w:t>4</w:t>
            </w:r>
          </w:p>
        </w:tc>
        <w:tc>
          <w:tcPr>
            <w:tcW w:w="290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江堃</w:t>
            </w:r>
          </w:p>
        </w:tc>
        <w:tc>
          <w:tcPr>
            <w:tcW w:w="410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18623509466</w:t>
            </w:r>
          </w:p>
        </w:tc>
        <w:tc>
          <w:tcPr>
            <w:tcW w:w="38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对接</w:t>
            </w:r>
            <w:r>
              <w:rPr>
                <w:rFonts w:hint="eastAsia" w:ascii="Times New Roman" w:hAnsi="Times New Roman" w:eastAsia="方正仿宋_GBK" w:cs="Times New Roman"/>
                <w:sz w:val="28"/>
                <w:szCs w:val="28"/>
                <w:vertAlign w:val="baseline"/>
                <w:lang w:val="en-US" w:eastAsia="zh-CN"/>
              </w:rPr>
              <w:t>交通核酸检测</w:t>
            </w:r>
            <w:r>
              <w:rPr>
                <w:rFonts w:hint="default" w:ascii="Times New Roman" w:hAnsi="Times New Roman" w:eastAsia="方正仿宋_GBK" w:cs="Times New Roman"/>
                <w:sz w:val="28"/>
                <w:szCs w:val="28"/>
                <w:vertAlign w:val="baseline"/>
                <w:lang w:val="en-US" w:eastAsia="zh-CN"/>
              </w:rPr>
              <w:t>服务点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1678"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eastAsia" w:ascii="Times New Roman" w:hAnsi="Times New Roman" w:eastAsia="方正仿宋_GBK" w:cs="Times New Roman"/>
                <w:sz w:val="28"/>
                <w:szCs w:val="28"/>
                <w:vertAlign w:val="baseline"/>
                <w:lang w:val="en-US" w:eastAsia="zh-CN"/>
              </w:rPr>
              <w:t>5</w:t>
            </w:r>
          </w:p>
        </w:tc>
        <w:tc>
          <w:tcPr>
            <w:tcW w:w="290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杨金燕</w:t>
            </w:r>
          </w:p>
        </w:tc>
        <w:tc>
          <w:tcPr>
            <w:tcW w:w="410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13594265283</w:t>
            </w:r>
          </w:p>
        </w:tc>
        <w:tc>
          <w:tcPr>
            <w:tcW w:w="38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eastAsia" w:ascii="Times New Roman" w:hAnsi="Times New Roman" w:eastAsia="方正仿宋_GBK" w:cs="Times New Roman"/>
                <w:sz w:val="28"/>
                <w:szCs w:val="28"/>
                <w:vertAlign w:val="baseline"/>
                <w:lang w:val="en-US" w:eastAsia="zh-CN"/>
              </w:rPr>
              <w:t>后勤</w:t>
            </w:r>
            <w:r>
              <w:rPr>
                <w:rFonts w:hint="default" w:ascii="Times New Roman" w:hAnsi="Times New Roman" w:eastAsia="方正仿宋_GBK" w:cs="Times New Roman"/>
                <w:sz w:val="28"/>
                <w:szCs w:val="28"/>
                <w:vertAlign w:val="baseline"/>
                <w:lang w:val="en-US" w:eastAsia="zh-CN"/>
              </w:rPr>
              <w:t>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1678"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eastAsia" w:ascii="Times New Roman" w:hAnsi="Times New Roman" w:eastAsia="方正仿宋_GBK" w:cs="Times New Roman"/>
                <w:sz w:val="28"/>
                <w:szCs w:val="28"/>
                <w:vertAlign w:val="baseline"/>
                <w:lang w:val="en-US" w:eastAsia="zh-CN"/>
              </w:rPr>
              <w:t>6</w:t>
            </w:r>
          </w:p>
        </w:tc>
        <w:tc>
          <w:tcPr>
            <w:tcW w:w="290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eastAsia" w:ascii="Times New Roman" w:hAnsi="Times New Roman" w:eastAsia="方正仿宋_GBK" w:cs="Times New Roman"/>
                <w:sz w:val="28"/>
                <w:szCs w:val="28"/>
                <w:vertAlign w:val="baseline"/>
                <w:lang w:val="en-US" w:eastAsia="zh-CN"/>
              </w:rPr>
              <w:t>郑刚</w:t>
            </w:r>
          </w:p>
        </w:tc>
        <w:tc>
          <w:tcPr>
            <w:tcW w:w="410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eastAsia" w:ascii="Times New Roman" w:hAnsi="Times New Roman" w:eastAsia="方正仿宋_GBK" w:cs="Times New Roman"/>
                <w:sz w:val="28"/>
                <w:szCs w:val="28"/>
                <w:vertAlign w:val="baseline"/>
                <w:lang w:val="en-US" w:eastAsia="zh-CN"/>
              </w:rPr>
              <w:t>13436036555</w:t>
            </w:r>
          </w:p>
        </w:tc>
        <w:tc>
          <w:tcPr>
            <w:tcW w:w="38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对接邮政快递企业</w:t>
            </w:r>
            <w:r>
              <w:rPr>
                <w:rFonts w:hint="eastAsia" w:ascii="Times New Roman" w:hAnsi="Times New Roman" w:eastAsia="方正仿宋_GBK" w:cs="Times New Roman"/>
                <w:sz w:val="28"/>
                <w:szCs w:val="28"/>
                <w:vertAlign w:val="baseline"/>
                <w:lang w:val="en-US" w:eastAsia="zh-CN"/>
              </w:rPr>
              <w:t>、商贸流通企业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1678"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eastAsia" w:ascii="Times New Roman" w:hAnsi="Times New Roman" w:eastAsia="方正仿宋_GBK" w:cs="Times New Roman"/>
                <w:sz w:val="28"/>
                <w:szCs w:val="28"/>
                <w:vertAlign w:val="baseline"/>
                <w:lang w:val="en-US" w:eastAsia="zh-CN"/>
              </w:rPr>
              <w:t>7</w:t>
            </w:r>
          </w:p>
        </w:tc>
        <w:tc>
          <w:tcPr>
            <w:tcW w:w="290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张闯</w:t>
            </w:r>
          </w:p>
        </w:tc>
        <w:tc>
          <w:tcPr>
            <w:tcW w:w="410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18523870110</w:t>
            </w:r>
          </w:p>
        </w:tc>
        <w:tc>
          <w:tcPr>
            <w:tcW w:w="38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对接商贸流通企业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1678"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eastAsia" w:ascii="Times New Roman" w:hAnsi="Times New Roman" w:eastAsia="方正仿宋_GBK" w:cs="Times New Roman"/>
                <w:sz w:val="28"/>
                <w:szCs w:val="28"/>
                <w:vertAlign w:val="baseline"/>
                <w:lang w:val="en-US" w:eastAsia="zh-CN"/>
              </w:rPr>
              <w:t>8</w:t>
            </w:r>
          </w:p>
        </w:tc>
        <w:tc>
          <w:tcPr>
            <w:tcW w:w="290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杨雷</w:t>
            </w:r>
          </w:p>
        </w:tc>
        <w:tc>
          <w:tcPr>
            <w:tcW w:w="410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15223168831</w:t>
            </w:r>
          </w:p>
        </w:tc>
        <w:tc>
          <w:tcPr>
            <w:tcW w:w="38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对接高新区企业</w:t>
            </w:r>
            <w:r>
              <w:rPr>
                <w:rFonts w:hint="eastAsia" w:ascii="Times New Roman" w:hAnsi="Times New Roman" w:eastAsia="方正仿宋_GBK" w:cs="Times New Roman"/>
                <w:sz w:val="28"/>
                <w:szCs w:val="28"/>
                <w:vertAlign w:val="baseline"/>
                <w:lang w:val="en-US" w:eastAsia="zh-CN"/>
              </w:rPr>
              <w:t>、经开区企业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1678"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eastAsia" w:ascii="Times New Roman" w:hAnsi="Times New Roman" w:eastAsia="方正仿宋_GBK" w:cs="Times New Roman"/>
                <w:sz w:val="28"/>
                <w:szCs w:val="28"/>
                <w:vertAlign w:val="baseline"/>
                <w:lang w:val="en-US" w:eastAsia="zh-CN"/>
              </w:rPr>
              <w:t>9</w:t>
            </w:r>
          </w:p>
        </w:tc>
        <w:tc>
          <w:tcPr>
            <w:tcW w:w="290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张杰</w:t>
            </w:r>
          </w:p>
        </w:tc>
        <w:tc>
          <w:tcPr>
            <w:tcW w:w="410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15803009823</w:t>
            </w:r>
          </w:p>
        </w:tc>
        <w:tc>
          <w:tcPr>
            <w:tcW w:w="38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对接经开区企业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678"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eastAsia" w:ascii="Times New Roman" w:hAnsi="Times New Roman" w:eastAsia="方正仿宋_GBK" w:cs="Times New Roman"/>
                <w:sz w:val="28"/>
                <w:szCs w:val="28"/>
                <w:vertAlign w:val="baseline"/>
                <w:lang w:val="en-US" w:eastAsia="zh-CN"/>
              </w:rPr>
              <w:t>10</w:t>
            </w:r>
          </w:p>
        </w:tc>
        <w:tc>
          <w:tcPr>
            <w:tcW w:w="290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苏宁</w:t>
            </w:r>
          </w:p>
        </w:tc>
        <w:tc>
          <w:tcPr>
            <w:tcW w:w="410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18306065977</w:t>
            </w:r>
          </w:p>
        </w:tc>
        <w:tc>
          <w:tcPr>
            <w:tcW w:w="38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z w:val="28"/>
                <w:szCs w:val="28"/>
                <w:vertAlign w:val="baseline"/>
                <w:lang w:val="en-US" w:eastAsia="zh-CN"/>
              </w:rPr>
              <w:t>对接经开区企业</w:t>
            </w:r>
          </w:p>
        </w:tc>
      </w:tr>
    </w:tbl>
    <w:p>
      <w:pPr>
        <w:jc w:val="left"/>
        <w:rPr>
          <w:rFonts w:hint="default" w:ascii="Times New Roman" w:hAnsi="Times New Roman" w:eastAsia="方正仿宋_GBK" w:cs="方正仿宋_GBK"/>
          <w:sz w:val="32"/>
          <w:szCs w:val="32"/>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swiss"/>
    <w:pitch w:val="default"/>
    <w:sig w:usb0="80000287" w:usb1="280F3C52"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0" distR="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097"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2"/>
                            <w:rPr>
                              <w:rFonts w:hint="eastAsia" w:eastAsia="宋体"/>
                              <w:lang w:eastAsia="zh-CN"/>
                            </w:rPr>
                          </w:pPr>
                          <w:r>
                            <w:rPr>
                              <w:rFonts w:hint="eastAsia"/>
                              <w:lang w:eastAsia="zh-CN"/>
                            </w:rPr>
                            <w:t>—</w:t>
                          </w: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r>
                            <w:rPr>
                              <w:rFonts w:hint="eastAsia"/>
                              <w:lang w:eastAsia="zh-CN"/>
                            </w:rPr>
                            <w:t>—</w:t>
                          </w:r>
                        </w:p>
                      </w:txbxContent>
                    </wps:txbx>
                    <wps:bodyPr vert="horz" wrap="none" lIns="0" tIns="0" rIns="0" bIns="0" anchor="t" upright="0">
                      <a:spAutoFit/>
                    </wps:bodyPr>
                  </wps:wsp>
                </a:graphicData>
              </a:graphic>
            </wp:anchor>
          </w:drawing>
        </mc:Choice>
        <mc:Fallback>
          <w:pict>
            <v:rect id="文本框 1" o:spid="_x0000_s1026" o:spt="1"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uXW5&#10;UtAAAAAFAQAADwAAAAAAAAABACAAAAAiAAAAZHJzL2Rvd25yZXYueG1sUEsBAhQAFAAAAAgAh07i&#10;QAR+Hmm4AQAAUAMAAA4AAAAAAAAAAQAgAAAAHwEAAGRycy9lMm9Eb2MueG1sUEsFBgAAAAAGAAYA&#10;WQEAAEkFAAAAAA==&#10;">
              <v:fill on="f" focussize="0,0"/>
              <v:stroke on="f"/>
              <v:imagedata o:title=""/>
              <o:lock v:ext="edit" aspectratio="f"/>
              <v:textbox inset="0mm,0mm,0mm,0mm" style="mso-fit-shape-to-text:t;">
                <w:txbxContent>
                  <w:p>
                    <w:pPr>
                      <w:pStyle w:val="2"/>
                      <w:rPr>
                        <w:rFonts w:hint="eastAsia" w:eastAsia="宋体"/>
                        <w:lang w:eastAsia="zh-CN"/>
                      </w:rPr>
                    </w:pPr>
                    <w:r>
                      <w:rPr>
                        <w:rFonts w:hint="eastAsia"/>
                        <w:lang w:eastAsia="zh-CN"/>
                      </w:rPr>
                      <w:t>—</w:t>
                    </w: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r>
                      <w:rPr>
                        <w:rFonts w:hint="eastAsia"/>
                        <w:lang w:eastAsia="zh-CN"/>
                      </w:rPr>
                      <w:t>—</w:t>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val="1"/>
  <w:embedSystemFont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84626A"/>
    <w:rsid w:val="0602085F"/>
    <w:rsid w:val="077F63E1"/>
    <w:rsid w:val="12CD2714"/>
    <w:rsid w:val="13D2177B"/>
    <w:rsid w:val="13FB470A"/>
    <w:rsid w:val="1CAD19AE"/>
    <w:rsid w:val="2AAC75FB"/>
    <w:rsid w:val="34A04819"/>
    <w:rsid w:val="35B456FE"/>
    <w:rsid w:val="3E1E468F"/>
    <w:rsid w:val="48DA0B18"/>
    <w:rsid w:val="58B925EE"/>
    <w:rsid w:val="5D3441B1"/>
    <w:rsid w:val="64561A7C"/>
    <w:rsid w:val="67590A1E"/>
    <w:rsid w:val="6B6E0732"/>
    <w:rsid w:val="716162A7"/>
    <w:rsid w:val="750E30E4"/>
    <w:rsid w:val="78386E36"/>
    <w:rsid w:val="7DB609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character" w:default="1" w:styleId="5">
    <w:name w:val="Default Paragraph Font"/>
    <w:uiPriority w:val="0"/>
  </w:style>
  <w:style w:type="table" w:default="1" w:styleId="3">
    <w:name w:val="Normal Table"/>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2524</Words>
  <Characters>2782</Characters>
  <Paragraphs>295</Paragraphs>
  <TotalTime>15</TotalTime>
  <ScaleCrop>false</ScaleCrop>
  <LinksUpToDate>false</LinksUpToDate>
  <CharactersWithSpaces>2880</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2022-09-05T06:38:00Z</dcterms:created>
  <dc:creator>Administrator</dc:creator>
  <cp:lastModifiedBy>Administrator</cp:lastModifiedBy>
  <cp:lastPrinted>2022-09-06T07:27:00Z</cp:lastPrinted>
  <dcterms:modified xsi:type="dcterms:W3CDTF">2022-09-07T07:07:10Z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2052-11.8.2.8959</vt:lpwstr>
  </property>
  <property fmtid="{D5CDD505-2E9C-101B-9397-08002B2CF9AE}" pid="3" name="ICV">
    <vt:lpwstr>a306c7cb3df34535a6280dc50b9a436b</vt:lpwstr>
  </property>
</Properties>
</file>